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923AD" w:rsidRDefault="000137CF" w:rsidP="007F6F1C">
      <w:pPr>
        <w:pStyle w:val="Title"/>
        <w:ind w:left="1440"/>
        <w:rPr>
          <w:rFonts w:ascii="Times New Roman" w:hAnsi="Times New Roman" w:cs="Times New Roman"/>
          <w:caps w:val="0"/>
        </w:rPr>
      </w:pPr>
      <w:r>
        <w:rPr>
          <w:rFonts w:ascii="Times New Roman" w:hAnsi="Times New Roman" w:cs="Times New Roman"/>
          <w:caps w:val="0"/>
        </w:rPr>
        <w:t xml:space="preserve">GASB 77 Tax Abatement &amp; Foregone Revenue Disclosures </w:t>
      </w:r>
    </w:p>
    <w:p w:rsidR="00194DF6" w:rsidRPr="00A4345F" w:rsidRDefault="00194DF6" w:rsidP="00E52DC2">
      <w:pPr>
        <w:pStyle w:val="Heading1"/>
        <w:rPr>
          <w:b/>
        </w:rPr>
      </w:pPr>
    </w:p>
    <w:p w:rsidR="000137CF" w:rsidRPr="008A0D51" w:rsidRDefault="000137CF" w:rsidP="000137CF">
      <w:pPr>
        <w:rPr>
          <w:b/>
          <w:sz w:val="28"/>
          <w:szCs w:val="28"/>
        </w:rPr>
      </w:pPr>
      <w:r w:rsidRPr="008A0D51">
        <w:rPr>
          <w:b/>
          <w:sz w:val="28"/>
          <w:szCs w:val="28"/>
        </w:rPr>
        <w:t>Definitions and guidance</w:t>
      </w:r>
    </w:p>
    <w:p w:rsidR="000137CF" w:rsidRPr="00CC4327" w:rsidRDefault="000137CF" w:rsidP="000137CF">
      <w:pPr>
        <w:pStyle w:val="ListParagraph"/>
        <w:suppressAutoHyphens/>
        <w:ind w:left="0"/>
      </w:pPr>
    </w:p>
    <w:p w:rsidR="000137CF" w:rsidRPr="00CC4327" w:rsidRDefault="000137CF" w:rsidP="000137CF">
      <w:pPr>
        <w:pStyle w:val="ListParagraph"/>
        <w:suppressAutoHyphens/>
        <w:ind w:left="0"/>
      </w:pPr>
      <w:r w:rsidRPr="00CC4327">
        <w:t xml:space="preserve">Tax Abatement – “A reduction in tax revenues that results from an agreement between one or more governments and an individual or entity in which (a) one or more governments promise to forgo tax revenues to which they are otherwise entitled and (b) the individual </w:t>
      </w:r>
      <w:bookmarkStart w:id="0" w:name="_GoBack"/>
      <w:bookmarkEnd w:id="0"/>
      <w:r w:rsidRPr="00CC4327">
        <w:t>or entity promises to take a specific action after the agreement has been entered into that contributes to economic development or otherwise benefits the governments or the citizens of those governments.” (GASB 77)</w:t>
      </w:r>
    </w:p>
    <w:p w:rsidR="000137CF" w:rsidRPr="00CC4327" w:rsidRDefault="000137CF" w:rsidP="000137CF">
      <w:pPr>
        <w:pStyle w:val="ListParagraph"/>
        <w:suppressAutoHyphens/>
        <w:ind w:left="0"/>
      </w:pPr>
    </w:p>
    <w:p w:rsidR="000137CF" w:rsidRPr="00CC4327" w:rsidRDefault="000137CF" w:rsidP="000137CF">
      <w:pPr>
        <w:pStyle w:val="ListParagraph"/>
        <w:suppressAutoHyphens/>
        <w:ind w:left="0"/>
      </w:pPr>
      <w:r w:rsidRPr="00CC4327">
        <w:t xml:space="preserve">Substance over Form – “A variety of labels are used to identify tax reduction programs – exemptions, deductions, credits, rebates and abatements. . . the Board concluded that this Statement should focus on the substance of the transactions rather than on their form or label” (GASB 77).  </w:t>
      </w:r>
    </w:p>
    <w:p w:rsidR="000137CF" w:rsidRPr="00CC4327" w:rsidRDefault="000137CF" w:rsidP="000137CF">
      <w:pPr>
        <w:pStyle w:val="ListParagraph"/>
        <w:suppressAutoHyphens/>
        <w:ind w:left="0"/>
      </w:pPr>
    </w:p>
    <w:p w:rsidR="000137CF" w:rsidRDefault="000137CF" w:rsidP="000137CF">
      <w:pPr>
        <w:pStyle w:val="ListParagraph"/>
        <w:suppressAutoHyphens/>
        <w:ind w:left="0"/>
      </w:pPr>
      <w:r w:rsidRPr="00CC4327">
        <w:t>“Although many tax abatements directly reduce the amount of taxes paid and do not involve the actual collection and return of taxes, the mechanism used to conduct the transaction is not relevant to determining whether a transaction meets the definition of an abatement.  Therefore, the fact that the developer pays property taxes and subsequently receives amounts from the government related to the additional property tax revenues means that the government did, in substance, forgo tax revenues” (GASB Implementation Guide 2017).</w:t>
      </w:r>
    </w:p>
    <w:p w:rsidR="000137CF" w:rsidRDefault="000137CF" w:rsidP="000137CF">
      <w:pPr>
        <w:pStyle w:val="ListParagraph"/>
        <w:suppressAutoHyphens/>
        <w:ind w:left="0"/>
      </w:pPr>
    </w:p>
    <w:p w:rsidR="000137CF" w:rsidRPr="00CC4327" w:rsidRDefault="000137CF" w:rsidP="000137CF">
      <w:pPr>
        <w:pStyle w:val="ListParagraph"/>
        <w:suppressAutoHyphens/>
        <w:ind w:left="0"/>
      </w:pPr>
      <w:r>
        <w:t>The sample disclosures list individual agreements, if there are multiple agreements of a specific type they may be listed in aggregate by program</w:t>
      </w:r>
      <w:r w:rsidR="007F6F1C">
        <w:t>. The example disclosures in this document may provide more information than what is required by statute. See GASB 77 for additional example disclosures.</w:t>
      </w:r>
    </w:p>
    <w:p w:rsidR="000137CF" w:rsidRDefault="000137CF" w:rsidP="000137CF">
      <w:pPr>
        <w:rPr>
          <w:b/>
          <w:sz w:val="28"/>
          <w:szCs w:val="28"/>
        </w:rPr>
      </w:pPr>
    </w:p>
    <w:p w:rsidR="000137CF" w:rsidRPr="00CC4327" w:rsidRDefault="000137CF" w:rsidP="000137CF">
      <w:pPr>
        <w:rPr>
          <w:b/>
          <w:sz w:val="28"/>
          <w:szCs w:val="28"/>
        </w:rPr>
      </w:pPr>
      <w:r w:rsidRPr="00CC4327">
        <w:rPr>
          <w:b/>
          <w:sz w:val="28"/>
          <w:szCs w:val="28"/>
        </w:rPr>
        <w:t>Sample Disclosure Notes</w:t>
      </w:r>
    </w:p>
    <w:p w:rsidR="000137CF" w:rsidRDefault="000137CF" w:rsidP="000137CF">
      <w:pPr>
        <w:rPr>
          <w:b/>
        </w:rPr>
      </w:pPr>
    </w:p>
    <w:p w:rsidR="000137CF" w:rsidRPr="00C74EC2" w:rsidRDefault="000137CF" w:rsidP="000137CF">
      <w:pPr>
        <w:rPr>
          <w:b/>
        </w:rPr>
      </w:pPr>
      <w:r w:rsidRPr="00C74EC2">
        <w:rPr>
          <w:b/>
        </w:rPr>
        <w:t>EXAMPLE</w:t>
      </w:r>
      <w:r>
        <w:rPr>
          <w:b/>
        </w:rPr>
        <w:t xml:space="preserve"> – Participating in an RDA</w:t>
      </w:r>
    </w:p>
    <w:p w:rsidR="000137CF" w:rsidRDefault="000137CF" w:rsidP="000137CF">
      <w:r>
        <w:t>XYZ School District participates in redevelopment activities that qualify as tax abatements, according to GASB 77 through ABC Redevelopment Agency as authorized under UCA 17C.  The purpose of the agency is to evaluate proposed development projects.  The most common method of assisting a redevelopment project is by providing tax increment financing.  For a complete accounting of increment financing arrangements, contact ABC Redevelopment Agency at XXX-XXX-XXXX.  Existing agreements to provide tax increment extend through 20XX.</w:t>
      </w:r>
    </w:p>
    <w:p w:rsidR="000137CF" w:rsidRDefault="000137CF" w:rsidP="000137CF"/>
    <w:p w:rsidR="000137CF" w:rsidRDefault="000137CF" w:rsidP="000137CF">
      <w:r>
        <w:t xml:space="preserve">Amount of tax increment paid to ABC Redevelopment Agency by year </w:t>
      </w:r>
    </w:p>
    <w:tbl>
      <w:tblPr>
        <w:tblStyle w:val="TableGrid"/>
        <w:tblW w:w="0" w:type="auto"/>
        <w:tblInd w:w="2913" w:type="dxa"/>
        <w:tblLook w:val="04A0" w:firstRow="1" w:lastRow="0" w:firstColumn="1" w:lastColumn="0" w:noHBand="0" w:noVBand="1"/>
      </w:tblPr>
      <w:tblGrid>
        <w:gridCol w:w="2030"/>
        <w:gridCol w:w="1840"/>
      </w:tblGrid>
      <w:tr w:rsidR="000137CF" w:rsidTr="00A14A3E">
        <w:trPr>
          <w:trHeight w:val="258"/>
        </w:trPr>
        <w:tc>
          <w:tcPr>
            <w:tcW w:w="2030" w:type="dxa"/>
          </w:tcPr>
          <w:p w:rsidR="000137CF" w:rsidRDefault="000137CF" w:rsidP="00A14A3E">
            <w:r>
              <w:t>2018</w:t>
            </w:r>
          </w:p>
        </w:tc>
        <w:tc>
          <w:tcPr>
            <w:tcW w:w="1840" w:type="dxa"/>
          </w:tcPr>
          <w:p w:rsidR="000137CF" w:rsidRDefault="000137CF" w:rsidP="00A14A3E">
            <w:r>
              <w:t>$XX,XXX</w:t>
            </w:r>
          </w:p>
        </w:tc>
      </w:tr>
      <w:tr w:rsidR="000137CF" w:rsidTr="00A14A3E">
        <w:trPr>
          <w:trHeight w:val="258"/>
        </w:trPr>
        <w:tc>
          <w:tcPr>
            <w:tcW w:w="2030" w:type="dxa"/>
          </w:tcPr>
          <w:p w:rsidR="000137CF" w:rsidRDefault="000137CF" w:rsidP="00A14A3E">
            <w:r>
              <w:t>2019</w:t>
            </w:r>
          </w:p>
        </w:tc>
        <w:tc>
          <w:tcPr>
            <w:tcW w:w="1840" w:type="dxa"/>
          </w:tcPr>
          <w:p w:rsidR="000137CF" w:rsidRDefault="000137CF" w:rsidP="00A14A3E">
            <w:r>
              <w:t>$XX,XXX</w:t>
            </w:r>
          </w:p>
        </w:tc>
      </w:tr>
      <w:tr w:rsidR="000137CF" w:rsidTr="00A14A3E">
        <w:trPr>
          <w:trHeight w:val="258"/>
        </w:trPr>
        <w:tc>
          <w:tcPr>
            <w:tcW w:w="2030" w:type="dxa"/>
          </w:tcPr>
          <w:p w:rsidR="000137CF" w:rsidRDefault="000137CF" w:rsidP="00A14A3E">
            <w:r>
              <w:t>2020</w:t>
            </w:r>
          </w:p>
        </w:tc>
        <w:tc>
          <w:tcPr>
            <w:tcW w:w="1840" w:type="dxa"/>
          </w:tcPr>
          <w:p w:rsidR="000137CF" w:rsidRDefault="000137CF" w:rsidP="00A14A3E">
            <w:r>
              <w:t>$XX,XXX</w:t>
            </w:r>
          </w:p>
        </w:tc>
      </w:tr>
      <w:tr w:rsidR="000137CF" w:rsidTr="00A14A3E">
        <w:trPr>
          <w:trHeight w:val="258"/>
        </w:trPr>
        <w:tc>
          <w:tcPr>
            <w:tcW w:w="2030" w:type="dxa"/>
          </w:tcPr>
          <w:p w:rsidR="000137CF" w:rsidRDefault="000137CF" w:rsidP="00A14A3E">
            <w:r>
              <w:t>2021 (Projected)</w:t>
            </w:r>
          </w:p>
        </w:tc>
        <w:tc>
          <w:tcPr>
            <w:tcW w:w="1840" w:type="dxa"/>
          </w:tcPr>
          <w:p w:rsidR="000137CF" w:rsidRDefault="000137CF" w:rsidP="00A14A3E">
            <w:r>
              <w:t>$XX,XXX</w:t>
            </w:r>
          </w:p>
        </w:tc>
      </w:tr>
    </w:tbl>
    <w:p w:rsidR="000137CF" w:rsidRDefault="000137CF" w:rsidP="000137CF"/>
    <w:p w:rsidR="000137CF" w:rsidRPr="00C74EC2" w:rsidRDefault="000137CF" w:rsidP="000137CF">
      <w:pPr>
        <w:rPr>
          <w:b/>
        </w:rPr>
      </w:pPr>
      <w:r w:rsidRPr="00C74EC2">
        <w:rPr>
          <w:b/>
        </w:rPr>
        <w:t>EXAMPLE</w:t>
      </w:r>
      <w:r>
        <w:rPr>
          <w:b/>
        </w:rPr>
        <w:t xml:space="preserve"> – Performance based payment to developer</w:t>
      </w:r>
    </w:p>
    <w:p w:rsidR="000137CF" w:rsidRDefault="000137CF" w:rsidP="000137CF">
      <w:r>
        <w:t xml:space="preserve">Smile City entered into an agreement with Gigantica Inc on May 1, 20XX, regarding the development know as </w:t>
      </w:r>
      <w:r w:rsidRPr="00F21175">
        <w:rPr>
          <w:i/>
        </w:rPr>
        <w:t>Awesome Job Providing Development</w:t>
      </w:r>
      <w:r>
        <w:t>.  As part of this agreement, tax increment financing from sales tax will be used to recover the cost of infrastructure that will be owned by the city.  In addition to the cost of infrastructure, Gigantica Inc will receive $X,XXX for each full-time employee at the end of the five year period of time from the date of the agreement. The tax increment funds are held by the ABC Redevelopment Agency in accordance with UCA 17C. Contact them at XXX-XXX-XXXX for more information.</w:t>
      </w:r>
    </w:p>
    <w:p w:rsidR="000137CF" w:rsidRDefault="000137CF" w:rsidP="000137CF">
      <w:r>
        <w:t>Amount paid to ABC Redevelopment Agency by year as Tax Increment</w:t>
      </w:r>
    </w:p>
    <w:tbl>
      <w:tblPr>
        <w:tblStyle w:val="TableGrid"/>
        <w:tblW w:w="0" w:type="auto"/>
        <w:tblInd w:w="2913" w:type="dxa"/>
        <w:tblLook w:val="04A0" w:firstRow="1" w:lastRow="0" w:firstColumn="1" w:lastColumn="0" w:noHBand="0" w:noVBand="1"/>
      </w:tblPr>
      <w:tblGrid>
        <w:gridCol w:w="2030"/>
        <w:gridCol w:w="1840"/>
      </w:tblGrid>
      <w:tr w:rsidR="000137CF" w:rsidTr="00A14A3E">
        <w:trPr>
          <w:trHeight w:val="258"/>
        </w:trPr>
        <w:tc>
          <w:tcPr>
            <w:tcW w:w="2030" w:type="dxa"/>
          </w:tcPr>
          <w:p w:rsidR="000137CF" w:rsidRDefault="000137CF" w:rsidP="00A14A3E">
            <w:r>
              <w:t>2018</w:t>
            </w:r>
          </w:p>
        </w:tc>
        <w:tc>
          <w:tcPr>
            <w:tcW w:w="1840" w:type="dxa"/>
          </w:tcPr>
          <w:p w:rsidR="000137CF" w:rsidRDefault="000137CF" w:rsidP="00A14A3E">
            <w:r>
              <w:t>$XX,XXX</w:t>
            </w:r>
          </w:p>
        </w:tc>
      </w:tr>
      <w:tr w:rsidR="000137CF" w:rsidTr="00A14A3E">
        <w:trPr>
          <w:trHeight w:val="258"/>
        </w:trPr>
        <w:tc>
          <w:tcPr>
            <w:tcW w:w="2030" w:type="dxa"/>
          </w:tcPr>
          <w:p w:rsidR="000137CF" w:rsidRDefault="000137CF" w:rsidP="00A14A3E">
            <w:r>
              <w:t>2019</w:t>
            </w:r>
          </w:p>
        </w:tc>
        <w:tc>
          <w:tcPr>
            <w:tcW w:w="1840" w:type="dxa"/>
          </w:tcPr>
          <w:p w:rsidR="000137CF" w:rsidRDefault="000137CF" w:rsidP="00A14A3E">
            <w:r>
              <w:t>$XX,XXX</w:t>
            </w:r>
          </w:p>
        </w:tc>
      </w:tr>
      <w:tr w:rsidR="000137CF" w:rsidTr="00A14A3E">
        <w:trPr>
          <w:trHeight w:val="258"/>
        </w:trPr>
        <w:tc>
          <w:tcPr>
            <w:tcW w:w="2030" w:type="dxa"/>
          </w:tcPr>
          <w:p w:rsidR="000137CF" w:rsidRDefault="000137CF" w:rsidP="00A14A3E">
            <w:r>
              <w:t>2020</w:t>
            </w:r>
          </w:p>
        </w:tc>
        <w:tc>
          <w:tcPr>
            <w:tcW w:w="1840" w:type="dxa"/>
          </w:tcPr>
          <w:p w:rsidR="000137CF" w:rsidRDefault="000137CF" w:rsidP="00A14A3E">
            <w:r>
              <w:t>$XX,XXX</w:t>
            </w:r>
          </w:p>
        </w:tc>
      </w:tr>
      <w:tr w:rsidR="000137CF" w:rsidTr="00A14A3E">
        <w:trPr>
          <w:trHeight w:val="258"/>
        </w:trPr>
        <w:tc>
          <w:tcPr>
            <w:tcW w:w="2030" w:type="dxa"/>
          </w:tcPr>
          <w:p w:rsidR="000137CF" w:rsidRDefault="000137CF" w:rsidP="00A14A3E">
            <w:r>
              <w:t>2021 (Projected)</w:t>
            </w:r>
          </w:p>
        </w:tc>
        <w:tc>
          <w:tcPr>
            <w:tcW w:w="1840" w:type="dxa"/>
          </w:tcPr>
          <w:p w:rsidR="000137CF" w:rsidRDefault="000137CF" w:rsidP="00A14A3E">
            <w:r>
              <w:t>$XX,XXX</w:t>
            </w:r>
          </w:p>
        </w:tc>
      </w:tr>
    </w:tbl>
    <w:p w:rsidR="007C29C0" w:rsidRDefault="007C29C0" w:rsidP="000137CF">
      <w:pPr>
        <w:rPr>
          <w:b/>
        </w:rPr>
      </w:pPr>
    </w:p>
    <w:p w:rsidR="000137CF" w:rsidRPr="00C74EC2" w:rsidRDefault="000137CF" w:rsidP="000137CF">
      <w:pPr>
        <w:rPr>
          <w:b/>
        </w:rPr>
      </w:pPr>
      <w:r w:rsidRPr="00C74EC2">
        <w:rPr>
          <w:b/>
        </w:rPr>
        <w:t>EXAMPLE</w:t>
      </w:r>
      <w:r>
        <w:rPr>
          <w:b/>
        </w:rPr>
        <w:t xml:space="preserve"> – Fee Waiver</w:t>
      </w:r>
    </w:p>
    <w:p w:rsidR="000137CF" w:rsidRDefault="000137CF" w:rsidP="000137CF">
      <w:r>
        <w:t xml:space="preserve">Sample City entered into an agreement with Big Box Inc on May 1, 20XX, regarding the development know as </w:t>
      </w:r>
      <w:r w:rsidRPr="00F21175">
        <w:rPr>
          <w:i/>
        </w:rPr>
        <w:t>A</w:t>
      </w:r>
      <w:r>
        <w:rPr>
          <w:i/>
        </w:rPr>
        <w:t xml:space="preserve">mazing </w:t>
      </w:r>
      <w:r w:rsidRPr="00F21175">
        <w:rPr>
          <w:i/>
        </w:rPr>
        <w:t>Development</w:t>
      </w:r>
      <w:r>
        <w:t xml:space="preserve">.  As part of this agreement, Bix Box agreed to build a retail store within Sample City limits, providing access to needed shopping opportunities for city residents, and limiting congestion and pollution on the highway connecting Sample City to other metropolitan areas.  Sample City agreed to waive the standard planning and zoning fees as well as the utility bill for the development for the first three years which should include the construction phase and the first few months of operations in accordance with UCA 10-8-84.  </w:t>
      </w:r>
    </w:p>
    <w:p w:rsidR="000137CF" w:rsidRDefault="000137CF" w:rsidP="000137CF">
      <w:r>
        <w:t>Amount of foregone revenue as a result of the agreement with Big Box Inc.</w:t>
      </w:r>
    </w:p>
    <w:tbl>
      <w:tblPr>
        <w:tblStyle w:val="TableGrid"/>
        <w:tblW w:w="0" w:type="auto"/>
        <w:jc w:val="center"/>
        <w:tblLook w:val="04A0" w:firstRow="1" w:lastRow="0" w:firstColumn="1" w:lastColumn="0" w:noHBand="0" w:noVBand="1"/>
      </w:tblPr>
      <w:tblGrid>
        <w:gridCol w:w="2030"/>
        <w:gridCol w:w="1840"/>
        <w:gridCol w:w="1840"/>
      </w:tblGrid>
      <w:tr w:rsidR="001412B4" w:rsidTr="001412B4">
        <w:trPr>
          <w:trHeight w:val="258"/>
          <w:jc w:val="center"/>
        </w:trPr>
        <w:tc>
          <w:tcPr>
            <w:tcW w:w="2030" w:type="dxa"/>
          </w:tcPr>
          <w:p w:rsidR="001412B4" w:rsidRDefault="001412B4" w:rsidP="00A14A3E">
            <w:r>
              <w:t>Year</w:t>
            </w:r>
          </w:p>
        </w:tc>
        <w:tc>
          <w:tcPr>
            <w:tcW w:w="1840" w:type="dxa"/>
          </w:tcPr>
          <w:p w:rsidR="001412B4" w:rsidRDefault="001412B4" w:rsidP="00A14A3E">
            <w:r>
              <w:t>Utilities Waived</w:t>
            </w:r>
          </w:p>
        </w:tc>
        <w:tc>
          <w:tcPr>
            <w:tcW w:w="1840" w:type="dxa"/>
          </w:tcPr>
          <w:p w:rsidR="001412B4" w:rsidRDefault="001412B4" w:rsidP="00A14A3E">
            <w:r>
              <w:t>Regulatory Fees Waived</w:t>
            </w:r>
          </w:p>
        </w:tc>
      </w:tr>
      <w:tr w:rsidR="001412B4" w:rsidTr="001412B4">
        <w:trPr>
          <w:trHeight w:val="258"/>
          <w:jc w:val="center"/>
        </w:trPr>
        <w:tc>
          <w:tcPr>
            <w:tcW w:w="2030" w:type="dxa"/>
          </w:tcPr>
          <w:p w:rsidR="001412B4" w:rsidRDefault="001412B4" w:rsidP="001412B4">
            <w:r>
              <w:t>2018</w:t>
            </w:r>
          </w:p>
        </w:tc>
        <w:tc>
          <w:tcPr>
            <w:tcW w:w="1840" w:type="dxa"/>
          </w:tcPr>
          <w:p w:rsidR="001412B4" w:rsidRDefault="001412B4" w:rsidP="00A14A3E">
            <w:r>
              <w:t>$XX,XXX</w:t>
            </w:r>
          </w:p>
        </w:tc>
        <w:tc>
          <w:tcPr>
            <w:tcW w:w="1840" w:type="dxa"/>
          </w:tcPr>
          <w:p w:rsidR="001412B4" w:rsidRDefault="001412B4" w:rsidP="00A14A3E">
            <w:r>
              <w:t>$XX,XXX</w:t>
            </w:r>
          </w:p>
        </w:tc>
      </w:tr>
      <w:tr w:rsidR="001412B4" w:rsidTr="001412B4">
        <w:trPr>
          <w:trHeight w:val="258"/>
          <w:jc w:val="center"/>
        </w:trPr>
        <w:tc>
          <w:tcPr>
            <w:tcW w:w="2030" w:type="dxa"/>
          </w:tcPr>
          <w:p w:rsidR="001412B4" w:rsidRDefault="001412B4" w:rsidP="00A14A3E">
            <w:r>
              <w:t>2019</w:t>
            </w:r>
          </w:p>
        </w:tc>
        <w:tc>
          <w:tcPr>
            <w:tcW w:w="1840" w:type="dxa"/>
          </w:tcPr>
          <w:p w:rsidR="001412B4" w:rsidRDefault="001412B4" w:rsidP="00A14A3E">
            <w:r>
              <w:t>$XX,XXX</w:t>
            </w:r>
          </w:p>
        </w:tc>
        <w:tc>
          <w:tcPr>
            <w:tcW w:w="1840" w:type="dxa"/>
          </w:tcPr>
          <w:p w:rsidR="001412B4" w:rsidRDefault="001412B4" w:rsidP="00A14A3E">
            <w:r>
              <w:t>$XX,XXX</w:t>
            </w:r>
          </w:p>
        </w:tc>
      </w:tr>
      <w:tr w:rsidR="001412B4" w:rsidTr="001412B4">
        <w:trPr>
          <w:trHeight w:val="258"/>
          <w:jc w:val="center"/>
        </w:trPr>
        <w:tc>
          <w:tcPr>
            <w:tcW w:w="2030" w:type="dxa"/>
          </w:tcPr>
          <w:p w:rsidR="001412B4" w:rsidRDefault="001412B4" w:rsidP="00A14A3E">
            <w:r>
              <w:t>2020</w:t>
            </w:r>
          </w:p>
        </w:tc>
        <w:tc>
          <w:tcPr>
            <w:tcW w:w="1840" w:type="dxa"/>
          </w:tcPr>
          <w:p w:rsidR="001412B4" w:rsidRDefault="001412B4" w:rsidP="00A14A3E">
            <w:r>
              <w:t>$XX,XXX</w:t>
            </w:r>
          </w:p>
        </w:tc>
        <w:tc>
          <w:tcPr>
            <w:tcW w:w="1840" w:type="dxa"/>
          </w:tcPr>
          <w:p w:rsidR="001412B4" w:rsidRDefault="001412B4" w:rsidP="00A14A3E">
            <w:r>
              <w:t>$XX,XXX</w:t>
            </w:r>
          </w:p>
        </w:tc>
      </w:tr>
    </w:tbl>
    <w:p w:rsidR="000137CF" w:rsidRPr="00C74EC2" w:rsidRDefault="000137CF" w:rsidP="000137CF">
      <w:pPr>
        <w:rPr>
          <w:b/>
        </w:rPr>
      </w:pPr>
      <w:r w:rsidRPr="00C74EC2">
        <w:rPr>
          <w:b/>
        </w:rPr>
        <w:lastRenderedPageBreak/>
        <w:t>EXAMPLE</w:t>
      </w:r>
      <w:r>
        <w:rPr>
          <w:b/>
        </w:rPr>
        <w:t xml:space="preserve"> – Redevelopment Agency or Primary Government with an RDA component unit</w:t>
      </w:r>
    </w:p>
    <w:p w:rsidR="000137CF" w:rsidRDefault="000137CF" w:rsidP="000137CF">
      <w:r>
        <w:t xml:space="preserve">ABC Redevelopment Agency currently manages five project areas and at times enters into agreements with developers that result in a GASB 77 disclosure requirement for tax abatements and foregone revenue.   </w:t>
      </w:r>
    </w:p>
    <w:p w:rsidR="000137CF" w:rsidRDefault="000137CF" w:rsidP="000137CF">
      <w:r>
        <w:t xml:space="preserve">Wacky Wednesday is the anchor tenant for the retail shopping center located at 1234 N 5678 West.  As a condition of creating the retail shopping center and being the main tenant Wacky Wednesday was granted 50% of the property tax increment generated on the developed land for a period of ten years beginning on January 1, 2015.  At the end of the agreement the incremental tax will be paid directly to the taxing entities that participated in the project area agreement (Bright Thinkers School District, Beehive County, Thirsty Water Improvement District and Smile City). </w:t>
      </w:r>
    </w:p>
    <w:p w:rsidR="000137CF" w:rsidRDefault="000137CF" w:rsidP="000137CF">
      <w:r>
        <w:t>Industrial Park Inc. is the developer of the industrial park located at 456 S 987 E in Sample City.  As part of the development agreement entered into on June 30, 2027 Industrial Park Inc receives 90% of the tax increment generated from the park up to $10,000,000 to recover the costs borne by the developer to bring in utilities and roads which are now owned by Sample City.  The remaining 10% of the increment is paid out to Industrial Park Inc to facilitate an internship program for low income citizens.</w:t>
      </w:r>
    </w:p>
    <w:p w:rsidR="000137CF" w:rsidRDefault="000137CF" w:rsidP="000137CF">
      <w:r>
        <w:t>Mr. Developer A received a pass through brownfields grant to evaluate and remediate a commercial property located at 159 N 753 W in Sample City.  The federal brownfields grant is administered by Beehive County and is in the amount of $500,000 the estimated remediation cost of this project is $750,000.  The Agency determined that it was in the best interest of the public to provide tax increment financing as a mechanism to finish funding the project and revitalize the down town area.  The agreement was entered into on July 1, 2018.  100% of the tax increment from the property owned by Mr. Developer A will be paid to the developer up to $250,000 or the project area expires on June 30, 2023.</w:t>
      </w:r>
    </w:p>
    <w:p w:rsidR="000137CF" w:rsidRDefault="000137CF" w:rsidP="000137CF">
      <w:r>
        <w:t>Amount paid to ABC Redevelopment Agency</w:t>
      </w:r>
    </w:p>
    <w:tbl>
      <w:tblPr>
        <w:tblStyle w:val="TableGrid"/>
        <w:tblW w:w="0" w:type="auto"/>
        <w:tblLook w:val="04A0" w:firstRow="1" w:lastRow="0" w:firstColumn="1" w:lastColumn="0" w:noHBand="0" w:noVBand="1"/>
      </w:tblPr>
      <w:tblGrid>
        <w:gridCol w:w="1415"/>
        <w:gridCol w:w="1062"/>
        <w:gridCol w:w="1386"/>
        <w:gridCol w:w="1382"/>
        <w:gridCol w:w="1149"/>
        <w:gridCol w:w="1579"/>
        <w:gridCol w:w="1377"/>
      </w:tblGrid>
      <w:tr w:rsidR="000137CF" w:rsidRPr="00CC55A4" w:rsidTr="000137CF">
        <w:tc>
          <w:tcPr>
            <w:tcW w:w="1415" w:type="dxa"/>
          </w:tcPr>
          <w:p w:rsidR="000137CF" w:rsidRPr="00DE1482" w:rsidRDefault="000137CF" w:rsidP="00A14A3E">
            <w:pPr>
              <w:rPr>
                <w:b/>
              </w:rPr>
            </w:pPr>
            <w:r w:rsidRPr="00DE1482">
              <w:rPr>
                <w:b/>
              </w:rPr>
              <w:t>Developer</w:t>
            </w:r>
          </w:p>
        </w:tc>
        <w:tc>
          <w:tcPr>
            <w:tcW w:w="1062" w:type="dxa"/>
          </w:tcPr>
          <w:p w:rsidR="000137CF" w:rsidRPr="00DE1482" w:rsidRDefault="000137CF" w:rsidP="00A14A3E">
            <w:pPr>
              <w:rPr>
                <w:b/>
              </w:rPr>
            </w:pPr>
            <w:r w:rsidRPr="00DE1482">
              <w:rPr>
                <w:b/>
              </w:rPr>
              <w:t>Tax Type</w:t>
            </w:r>
          </w:p>
        </w:tc>
        <w:tc>
          <w:tcPr>
            <w:tcW w:w="1386" w:type="dxa"/>
          </w:tcPr>
          <w:p w:rsidR="000137CF" w:rsidRPr="00DE1482" w:rsidRDefault="000137CF" w:rsidP="00A14A3E">
            <w:pPr>
              <w:rPr>
                <w:b/>
              </w:rPr>
            </w:pPr>
            <w:r w:rsidRPr="00DE1482">
              <w:rPr>
                <w:b/>
              </w:rPr>
              <w:t>Eligibility</w:t>
            </w:r>
          </w:p>
        </w:tc>
        <w:tc>
          <w:tcPr>
            <w:tcW w:w="1382" w:type="dxa"/>
          </w:tcPr>
          <w:p w:rsidR="000137CF" w:rsidRPr="00DE1482" w:rsidRDefault="000137CF" w:rsidP="00A14A3E">
            <w:pPr>
              <w:rPr>
                <w:b/>
              </w:rPr>
            </w:pPr>
            <w:r w:rsidRPr="00DE1482">
              <w:rPr>
                <w:b/>
              </w:rPr>
              <w:t>Mechanism</w:t>
            </w:r>
          </w:p>
        </w:tc>
        <w:tc>
          <w:tcPr>
            <w:tcW w:w="1149" w:type="dxa"/>
          </w:tcPr>
          <w:p w:rsidR="000137CF" w:rsidRPr="00DE1482" w:rsidRDefault="000137CF" w:rsidP="00A14A3E">
            <w:pPr>
              <w:rPr>
                <w:b/>
              </w:rPr>
            </w:pPr>
            <w:r w:rsidRPr="00DE1482">
              <w:rPr>
                <w:b/>
              </w:rPr>
              <w:t>Amount</w:t>
            </w:r>
          </w:p>
        </w:tc>
        <w:tc>
          <w:tcPr>
            <w:tcW w:w="1579" w:type="dxa"/>
          </w:tcPr>
          <w:p w:rsidR="000137CF" w:rsidRPr="00DE1482" w:rsidRDefault="000137CF" w:rsidP="00A14A3E">
            <w:pPr>
              <w:rPr>
                <w:b/>
              </w:rPr>
            </w:pPr>
            <w:r w:rsidRPr="00DE1482">
              <w:rPr>
                <w:b/>
              </w:rPr>
              <w:t>Other Commitments</w:t>
            </w:r>
          </w:p>
        </w:tc>
        <w:tc>
          <w:tcPr>
            <w:tcW w:w="1377" w:type="dxa"/>
          </w:tcPr>
          <w:p w:rsidR="000137CF" w:rsidRPr="00DE1482" w:rsidRDefault="000137CF" w:rsidP="00A14A3E">
            <w:pPr>
              <w:rPr>
                <w:b/>
              </w:rPr>
            </w:pPr>
            <w:r w:rsidRPr="00DE1482">
              <w:rPr>
                <w:b/>
              </w:rPr>
              <w:t>Timeline</w:t>
            </w:r>
          </w:p>
        </w:tc>
      </w:tr>
      <w:tr w:rsidR="000137CF" w:rsidTr="000137CF">
        <w:tc>
          <w:tcPr>
            <w:tcW w:w="1415" w:type="dxa"/>
          </w:tcPr>
          <w:p w:rsidR="000137CF" w:rsidRDefault="000137CF" w:rsidP="00A14A3E">
            <w:r>
              <w:t>Wacky Wednesday</w:t>
            </w:r>
          </w:p>
        </w:tc>
        <w:tc>
          <w:tcPr>
            <w:tcW w:w="1062" w:type="dxa"/>
          </w:tcPr>
          <w:p w:rsidR="000137CF" w:rsidRDefault="000137CF" w:rsidP="00A14A3E">
            <w:r>
              <w:t>Property Tax</w:t>
            </w:r>
          </w:p>
        </w:tc>
        <w:tc>
          <w:tcPr>
            <w:tcW w:w="1386" w:type="dxa"/>
          </w:tcPr>
          <w:p w:rsidR="000137CF" w:rsidRDefault="000137CF" w:rsidP="00A14A3E">
            <w:r>
              <w:t>Board Determined</w:t>
            </w:r>
          </w:p>
        </w:tc>
        <w:tc>
          <w:tcPr>
            <w:tcW w:w="1382" w:type="dxa"/>
          </w:tcPr>
          <w:p w:rsidR="000137CF" w:rsidRDefault="000137CF" w:rsidP="00A14A3E">
            <w:r>
              <w:t>TIF</w:t>
            </w:r>
          </w:p>
        </w:tc>
        <w:tc>
          <w:tcPr>
            <w:tcW w:w="1149" w:type="dxa"/>
          </w:tcPr>
          <w:p w:rsidR="000137CF" w:rsidRDefault="000137CF" w:rsidP="00A14A3E">
            <w:r>
              <w:t>XX,XXX</w:t>
            </w:r>
          </w:p>
        </w:tc>
        <w:tc>
          <w:tcPr>
            <w:tcW w:w="1579" w:type="dxa"/>
          </w:tcPr>
          <w:p w:rsidR="000137CF" w:rsidRDefault="000137CF" w:rsidP="00A14A3E">
            <w:r>
              <w:t>None</w:t>
            </w:r>
          </w:p>
        </w:tc>
        <w:tc>
          <w:tcPr>
            <w:tcW w:w="1377" w:type="dxa"/>
          </w:tcPr>
          <w:p w:rsidR="000137CF" w:rsidRDefault="000137CF" w:rsidP="00A14A3E">
            <w:r>
              <w:t>TIF ends Dec 31, 2025</w:t>
            </w:r>
          </w:p>
        </w:tc>
      </w:tr>
      <w:tr w:rsidR="000137CF" w:rsidTr="000137CF">
        <w:tc>
          <w:tcPr>
            <w:tcW w:w="1415" w:type="dxa"/>
          </w:tcPr>
          <w:p w:rsidR="000137CF" w:rsidRDefault="000137CF" w:rsidP="00A14A3E">
            <w:r>
              <w:t xml:space="preserve">Industrial Park Inc. </w:t>
            </w:r>
          </w:p>
        </w:tc>
        <w:tc>
          <w:tcPr>
            <w:tcW w:w="1062" w:type="dxa"/>
          </w:tcPr>
          <w:p w:rsidR="000137CF" w:rsidRDefault="000137CF" w:rsidP="00A14A3E">
            <w:r>
              <w:t>Property Tax</w:t>
            </w:r>
          </w:p>
        </w:tc>
        <w:tc>
          <w:tcPr>
            <w:tcW w:w="1386" w:type="dxa"/>
          </w:tcPr>
          <w:p w:rsidR="000137CF" w:rsidRDefault="000137CF" w:rsidP="00A14A3E">
            <w:r>
              <w:t>Board Determined</w:t>
            </w:r>
          </w:p>
        </w:tc>
        <w:tc>
          <w:tcPr>
            <w:tcW w:w="1382" w:type="dxa"/>
          </w:tcPr>
          <w:p w:rsidR="000137CF" w:rsidRDefault="000137CF" w:rsidP="00A14A3E">
            <w:r>
              <w:t>TIF</w:t>
            </w:r>
          </w:p>
        </w:tc>
        <w:tc>
          <w:tcPr>
            <w:tcW w:w="1149" w:type="dxa"/>
          </w:tcPr>
          <w:p w:rsidR="000137CF" w:rsidRDefault="000137CF" w:rsidP="00A14A3E">
            <w:r>
              <w:t>XX,XXX</w:t>
            </w:r>
          </w:p>
        </w:tc>
        <w:tc>
          <w:tcPr>
            <w:tcW w:w="1579" w:type="dxa"/>
          </w:tcPr>
          <w:p w:rsidR="000137CF" w:rsidRDefault="000137CF" w:rsidP="00A14A3E">
            <w:r>
              <w:t>Sample City Sales Tax</w:t>
            </w:r>
          </w:p>
        </w:tc>
        <w:tc>
          <w:tcPr>
            <w:tcW w:w="1377" w:type="dxa"/>
          </w:tcPr>
          <w:p w:rsidR="000137CF" w:rsidRDefault="000137CF" w:rsidP="00A14A3E">
            <w:r>
              <w:t>Expires June 30, 2027</w:t>
            </w:r>
          </w:p>
        </w:tc>
      </w:tr>
      <w:tr w:rsidR="000137CF" w:rsidTr="000137CF">
        <w:tc>
          <w:tcPr>
            <w:tcW w:w="1415" w:type="dxa"/>
          </w:tcPr>
          <w:p w:rsidR="000137CF" w:rsidRDefault="000137CF" w:rsidP="00A14A3E">
            <w:r>
              <w:t>Mr. Developer A</w:t>
            </w:r>
          </w:p>
        </w:tc>
        <w:tc>
          <w:tcPr>
            <w:tcW w:w="1062" w:type="dxa"/>
          </w:tcPr>
          <w:p w:rsidR="000137CF" w:rsidRDefault="000137CF" w:rsidP="00A14A3E">
            <w:r>
              <w:t>Property Tax</w:t>
            </w:r>
          </w:p>
        </w:tc>
        <w:tc>
          <w:tcPr>
            <w:tcW w:w="1386" w:type="dxa"/>
          </w:tcPr>
          <w:p w:rsidR="000137CF" w:rsidRDefault="000137CF" w:rsidP="00A14A3E">
            <w:r>
              <w:t>Brownfields Grant</w:t>
            </w:r>
          </w:p>
        </w:tc>
        <w:tc>
          <w:tcPr>
            <w:tcW w:w="1382" w:type="dxa"/>
          </w:tcPr>
          <w:p w:rsidR="000137CF" w:rsidRDefault="000137CF" w:rsidP="00A14A3E">
            <w:r>
              <w:t>Federal Grant &amp; TIF</w:t>
            </w:r>
          </w:p>
        </w:tc>
        <w:tc>
          <w:tcPr>
            <w:tcW w:w="1149" w:type="dxa"/>
          </w:tcPr>
          <w:p w:rsidR="000137CF" w:rsidRDefault="000137CF" w:rsidP="00A14A3E">
            <w:r>
              <w:t>XX,XXX</w:t>
            </w:r>
          </w:p>
        </w:tc>
        <w:tc>
          <w:tcPr>
            <w:tcW w:w="1579" w:type="dxa"/>
          </w:tcPr>
          <w:p w:rsidR="000137CF" w:rsidRDefault="000137CF" w:rsidP="00A14A3E">
            <w:r>
              <w:t>None</w:t>
            </w:r>
          </w:p>
        </w:tc>
        <w:tc>
          <w:tcPr>
            <w:tcW w:w="1377" w:type="dxa"/>
          </w:tcPr>
          <w:p w:rsidR="000137CF" w:rsidRDefault="000137CF" w:rsidP="00A14A3E">
            <w:r>
              <w:t>Expires June 30, 2023</w:t>
            </w:r>
          </w:p>
        </w:tc>
      </w:tr>
    </w:tbl>
    <w:p w:rsidR="00753903" w:rsidRPr="00E52DC2" w:rsidRDefault="00753903" w:rsidP="001412B4">
      <w:pPr>
        <w:spacing w:line="276" w:lineRule="auto"/>
        <w:ind w:right="288"/>
        <w:rPr>
          <w:rFonts w:ascii="Tahoma" w:eastAsia="Times New Roman" w:hAnsi="Tahoma" w:cs="Tahoma"/>
          <w:sz w:val="16"/>
          <w:szCs w:val="24"/>
        </w:rPr>
      </w:pPr>
    </w:p>
    <w:sectPr w:rsidR="00753903" w:rsidRPr="00E52DC2" w:rsidSect="00E52DC2">
      <w:footerReference w:type="default" r:id="rId11"/>
      <w:headerReference w:type="first" r:id="rId12"/>
      <w:footerReference w:type="first" r:id="rId13"/>
      <w:pgSz w:w="12240" w:h="15840"/>
      <w:pgMar w:top="810" w:right="1440" w:bottom="900" w:left="1440" w:header="720" w:footer="42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94BBA" w:rsidRDefault="00E94BBA">
      <w:pPr>
        <w:spacing w:after="0" w:line="240" w:lineRule="auto"/>
      </w:pPr>
      <w:r>
        <w:separator/>
      </w:r>
    </w:p>
  </w:endnote>
  <w:endnote w:type="continuationSeparator" w:id="0">
    <w:p w:rsidR="00E94BBA" w:rsidRDefault="00E94B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rbel">
    <w:panose1 w:val="020B0503020204020204"/>
    <w:charset w:val="00"/>
    <w:family w:val="swiss"/>
    <w:pitch w:val="variable"/>
    <w:sig w:usb0="A00002EF" w:usb1="4000A44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35191715"/>
      <w:docPartObj>
        <w:docPartGallery w:val="Page Numbers (Bottom of Page)"/>
        <w:docPartUnique/>
      </w:docPartObj>
    </w:sdtPr>
    <w:sdtEndPr>
      <w:rPr>
        <w:noProof/>
      </w:rPr>
    </w:sdtEndPr>
    <w:sdtContent>
      <w:p w:rsidR="004E1AED" w:rsidRDefault="004E1AED">
        <w:pPr>
          <w:pStyle w:val="Footer"/>
        </w:pPr>
        <w:r>
          <w:fldChar w:fldCharType="begin"/>
        </w:r>
        <w:r>
          <w:instrText xml:space="preserve"> PAGE   \* MERGEFORMAT </w:instrText>
        </w:r>
        <w:r>
          <w:fldChar w:fldCharType="separate"/>
        </w:r>
        <w:r w:rsidR="00B66B12">
          <w:rPr>
            <w:noProof/>
          </w:rPr>
          <w:t>2</w:t>
        </w:r>
        <w:r>
          <w:rPr>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B2828" w:rsidRDefault="00FB2828" w:rsidP="00FB2828">
    <w:pPr>
      <w:pStyle w:val="Footer"/>
      <w:pBdr>
        <w:bottom w:val="single" w:sz="6" w:space="1" w:color="auto"/>
      </w:pBdr>
      <w:ind w:left="-720" w:right="-720"/>
      <w:rPr>
        <w:sz w:val="16"/>
      </w:rPr>
    </w:pPr>
  </w:p>
  <w:p w:rsidR="00FB2828" w:rsidRPr="00FB2828" w:rsidRDefault="00FB2828" w:rsidP="00FB2828">
    <w:pPr>
      <w:pStyle w:val="Footer"/>
      <w:spacing w:before="120"/>
      <w:ind w:left="-720" w:right="-720"/>
      <w:jc w:val="center"/>
      <w:rPr>
        <w:sz w:val="18"/>
        <w:szCs w:val="18"/>
      </w:rPr>
    </w:pPr>
    <w:r w:rsidRPr="000F6409">
      <w:rPr>
        <w:sz w:val="18"/>
        <w:szCs w:val="18"/>
      </w:rPr>
      <w:t xml:space="preserve">Utah State Capitol Complex, East Office Building, Suite E310  •  Salt Lake </w:t>
    </w:r>
    <w:r w:rsidR="00DC69B6">
      <w:rPr>
        <w:sz w:val="18"/>
        <w:szCs w:val="18"/>
      </w:rPr>
      <w:t>Entity</w:t>
    </w:r>
    <w:r w:rsidRPr="000F6409">
      <w:rPr>
        <w:sz w:val="18"/>
        <w:szCs w:val="18"/>
      </w:rPr>
      <w:t xml:space="preserve">, Utah 84114-2310  •  Tel: (801) 538-1025  •  </w:t>
    </w:r>
    <w:r>
      <w:rPr>
        <w:sz w:val="18"/>
        <w:szCs w:val="18"/>
      </w:rPr>
      <w:t>auditor.utah.gov</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94BBA" w:rsidRDefault="00E94BBA">
      <w:pPr>
        <w:spacing w:after="0" w:line="240" w:lineRule="auto"/>
      </w:pPr>
      <w:r>
        <w:separator/>
      </w:r>
    </w:p>
  </w:footnote>
  <w:footnote w:type="continuationSeparator" w:id="0">
    <w:p w:rsidR="00E94BBA" w:rsidRDefault="00E94BB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23AD" w:rsidRPr="00686415" w:rsidRDefault="008923AD" w:rsidP="008923AD">
    <w:pPr>
      <w:spacing w:after="0"/>
      <w:ind w:left="1197"/>
      <w:rPr>
        <w:rFonts w:ascii="Times New Roman" w:eastAsia="Times New Roman" w:hAnsi="Times New Roman" w:cs="Times New Roman"/>
        <w:color w:val="000000"/>
        <w:sz w:val="20"/>
        <w:szCs w:val="20"/>
        <w:lang w:eastAsia="en-US"/>
      </w:rPr>
    </w:pPr>
    <w:r w:rsidRPr="00A9397C">
      <w:rPr>
        <w:rFonts w:asciiTheme="majorHAnsi" w:hAnsiTheme="majorHAnsi"/>
        <w:b/>
        <w:noProof/>
        <w:sz w:val="28"/>
        <w:szCs w:val="28"/>
        <w:lang w:eastAsia="en-US"/>
      </w:rPr>
      <mc:AlternateContent>
        <mc:Choice Requires="wps">
          <w:drawing>
            <wp:anchor distT="45720" distB="45720" distL="114300" distR="114300" simplePos="0" relativeHeight="251657728" behindDoc="0" locked="0" layoutInCell="1" allowOverlap="1" wp14:anchorId="47A6A39F" wp14:editId="5EDFF130">
              <wp:simplePos x="0" y="0"/>
              <wp:positionH relativeFrom="column">
                <wp:posOffset>3609975</wp:posOffset>
              </wp:positionH>
              <wp:positionV relativeFrom="paragraph">
                <wp:posOffset>-362585</wp:posOffset>
              </wp:positionV>
              <wp:extent cx="2355214" cy="587374"/>
              <wp:effectExtent l="0" t="0" r="22860" b="2286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55214" cy="587374"/>
                      </a:xfrm>
                      <a:prstGeom prst="rect">
                        <a:avLst/>
                      </a:prstGeom>
                      <a:solidFill>
                        <a:schemeClr val="tx2">
                          <a:lumMod val="75000"/>
                        </a:schemeClr>
                      </a:solidFill>
                      <a:ln w="9525">
                        <a:solidFill>
                          <a:srgbClr val="000000"/>
                        </a:solidFill>
                        <a:miter lim="800000"/>
                        <a:headEnd/>
                        <a:tailEnd/>
                      </a:ln>
                    </wps:spPr>
                    <wps:txbx>
                      <w:txbxContent>
                        <w:p w:rsidR="008923AD" w:rsidRPr="00A9397C" w:rsidRDefault="008923AD" w:rsidP="008923AD">
                          <w:pPr>
                            <w:jc w:val="center"/>
                            <w:rPr>
                              <w:rFonts w:ascii="Times New Roman" w:hAnsi="Times New Roman" w:cs="Times New Roman"/>
                              <w:sz w:val="40"/>
                            </w:rPr>
                          </w:pPr>
                          <w:r w:rsidRPr="00A9397C">
                            <w:rPr>
                              <w:rFonts w:ascii="Times New Roman" w:hAnsi="Times New Roman" w:cs="Times New Roman"/>
                              <w:sz w:val="40"/>
                            </w:rPr>
                            <w:t>TEMPLATE</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w14:anchorId="47A6A39F" id="_x0000_t202" coordsize="21600,21600" o:spt="202" path="m,l,21600r21600,l21600,xe">
              <v:stroke joinstyle="miter"/>
              <v:path gradientshapeok="t" o:connecttype="rect"/>
            </v:shapetype>
            <v:shape id="Text Box 2" o:spid="_x0000_s1026" type="#_x0000_t202" style="position:absolute;left:0;text-align:left;margin-left:284.25pt;margin-top:-28.55pt;width:185.45pt;height:46.25pt;z-index:251657728;visibility:visible;mso-wrap-style:square;mso-width-percent:400;mso-height-percent:0;mso-wrap-distance-left:9pt;mso-wrap-distance-top:3.6pt;mso-wrap-distance-right:9pt;mso-wrap-distance-bottom:3.6pt;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" fillcolor="#00264c [2415]">
              <v:textbox>
                <w:txbxContent>
                  <w:p w:rsidR="008923AD" w:rsidRPr="00A9397C" w:rsidRDefault="008923AD" w:rsidP="008923AD">
                    <w:pPr>
                      <w:jc w:val="center"/>
                      <w:rPr>
                        <w:rFonts w:ascii="Times New Roman" w:hAnsi="Times New Roman" w:cs="Times New Roman"/>
                        <w:sz w:val="40"/>
                      </w:rPr>
                    </w:pPr>
                    <w:r w:rsidRPr="00A9397C">
                      <w:rPr>
                        <w:rFonts w:ascii="Times New Roman" w:hAnsi="Times New Roman" w:cs="Times New Roman"/>
                        <w:sz w:val="40"/>
                      </w:rPr>
                      <w:t>TEMPLATE</w:t>
                    </w:r>
                  </w:p>
                </w:txbxContent>
              </v:textbox>
              <w10:wrap type="square"/>
            </v:shape>
          </w:pict>
        </mc:Fallback>
      </mc:AlternateContent>
    </w:r>
    <w:r w:rsidRPr="00FB2828">
      <w:rPr>
        <w:rFonts w:asciiTheme="majorHAnsi" w:hAnsiTheme="majorHAnsi"/>
        <w:b/>
        <w:noProof/>
        <w:sz w:val="28"/>
        <w:szCs w:val="28"/>
        <w:lang w:eastAsia="en-US"/>
      </w:rPr>
      <w:drawing>
        <wp:anchor distT="0" distB="0" distL="114300" distR="114300" simplePos="0" relativeHeight="251656704" behindDoc="0" locked="0" layoutInCell="1" allowOverlap="1" wp14:anchorId="5034A3E4" wp14:editId="0E80396C">
          <wp:simplePos x="0" y="0"/>
          <wp:positionH relativeFrom="margin">
            <wp:posOffset>-28575</wp:posOffset>
          </wp:positionH>
          <wp:positionV relativeFrom="paragraph">
            <wp:posOffset>-219075</wp:posOffset>
          </wp:positionV>
          <wp:extent cx="1123950" cy="1123950"/>
          <wp:effectExtent l="0" t="0" r="0" b="0"/>
          <wp:wrapThrough wrapText="bothSides">
            <wp:wrapPolygon edited="0">
              <wp:start x="9153" y="0"/>
              <wp:lineTo x="6224" y="732"/>
              <wp:lineTo x="366" y="4759"/>
              <wp:lineTo x="0" y="9519"/>
              <wp:lineTo x="0" y="13546"/>
              <wp:lineTo x="1831" y="17939"/>
              <wp:lineTo x="2197" y="18305"/>
              <wp:lineTo x="6590" y="21234"/>
              <wp:lineTo x="7322" y="21234"/>
              <wp:lineTo x="13912" y="21234"/>
              <wp:lineTo x="14644" y="21234"/>
              <wp:lineTo x="19037" y="18305"/>
              <wp:lineTo x="19403" y="17939"/>
              <wp:lineTo x="21234" y="13546"/>
              <wp:lineTo x="21234" y="8420"/>
              <wp:lineTo x="20868" y="5125"/>
              <wp:lineTo x="15010" y="732"/>
              <wp:lineTo x="12447" y="0"/>
              <wp:lineTo x="9153" y="0"/>
            </wp:wrapPolygon>
          </wp:wrapThrough>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tate Auditor Seal black - Large.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23950" cy="1123950"/>
                  </a:xfrm>
                  <a:prstGeom prst="rect">
                    <a:avLst/>
                  </a:prstGeom>
                </pic:spPr>
              </pic:pic>
            </a:graphicData>
          </a:graphic>
          <wp14:sizeRelH relativeFrom="margin">
            <wp14:pctWidth>0</wp14:pctWidth>
          </wp14:sizeRelH>
          <wp14:sizeRelV relativeFrom="margin">
            <wp14:pctHeight>0</wp14:pctHeight>
          </wp14:sizeRelV>
        </wp:anchor>
      </w:drawing>
    </w:r>
    <w:r w:rsidRPr="00686415">
      <w:rPr>
        <w:rFonts w:ascii="Times New Roman" w:eastAsia="Times New Roman" w:hAnsi="Times New Roman" w:cs="Times New Roman"/>
        <w:b/>
        <w:smallCaps/>
        <w:color w:val="000000"/>
        <w:lang w:eastAsia="en-US"/>
      </w:rPr>
      <w:t>Office of the</w:t>
    </w:r>
  </w:p>
  <w:p w:rsidR="008923AD" w:rsidRPr="00686415" w:rsidRDefault="008923AD" w:rsidP="008923AD">
    <w:pPr>
      <w:spacing w:before="0" w:after="0" w:line="240" w:lineRule="auto"/>
      <w:ind w:left="1197"/>
      <w:rPr>
        <w:rFonts w:ascii="Times New Roman" w:eastAsia="Times New Roman" w:hAnsi="Times New Roman" w:cs="Times New Roman"/>
        <w:color w:val="000000"/>
        <w:sz w:val="20"/>
        <w:szCs w:val="20"/>
        <w:lang w:eastAsia="en-US"/>
      </w:rPr>
    </w:pPr>
    <w:r w:rsidRPr="00686415">
      <w:rPr>
        <w:rFonts w:ascii="Times New Roman" w:eastAsia="Times New Roman" w:hAnsi="Times New Roman" w:cs="Times New Roman"/>
        <w:b/>
        <w:smallCaps/>
        <w:color w:val="000000"/>
        <w:sz w:val="32"/>
        <w:szCs w:val="32"/>
        <w:lang w:eastAsia="en-US"/>
      </w:rPr>
      <w:t>State Auditor</w:t>
    </w:r>
  </w:p>
  <w:p w:rsidR="006D66E4" w:rsidRPr="008923AD" w:rsidRDefault="006D66E4" w:rsidP="008923A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CB6686A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75BE83CE"/>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30E2AF9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3F1A134C"/>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BAA4C9B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76EF0D2"/>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527E0E5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381046D4"/>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A69AE70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32435F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E455F"/>
    <w:multiLevelType w:val="hybridMultilevel"/>
    <w:tmpl w:val="6F00C2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03F33A3D"/>
    <w:multiLevelType w:val="hybridMultilevel"/>
    <w:tmpl w:val="11A43344"/>
    <w:lvl w:ilvl="0" w:tplc="4F922C0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A407B04"/>
    <w:multiLevelType w:val="multilevel"/>
    <w:tmpl w:val="6374B2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5AD4E9E"/>
    <w:multiLevelType w:val="hybridMultilevel"/>
    <w:tmpl w:val="6DAA7370"/>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4" w15:restartNumberingAfterBreak="0">
    <w:nsid w:val="16F73E83"/>
    <w:multiLevelType w:val="hybridMultilevel"/>
    <w:tmpl w:val="A644237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194947E2"/>
    <w:multiLevelType w:val="hybridMultilevel"/>
    <w:tmpl w:val="D9064EE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19D11788"/>
    <w:multiLevelType w:val="multilevel"/>
    <w:tmpl w:val="DB0277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1A5732CF"/>
    <w:multiLevelType w:val="multilevel"/>
    <w:tmpl w:val="C1624DE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1BBA56BE"/>
    <w:multiLevelType w:val="hybridMultilevel"/>
    <w:tmpl w:val="40487E7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1DF9086C"/>
    <w:multiLevelType w:val="hybridMultilevel"/>
    <w:tmpl w:val="7152D5E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1F041910"/>
    <w:multiLevelType w:val="hybridMultilevel"/>
    <w:tmpl w:val="FAC4FD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3971603"/>
    <w:multiLevelType w:val="multilevel"/>
    <w:tmpl w:val="4E28CE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243E04F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29485703"/>
    <w:multiLevelType w:val="hybridMultilevel"/>
    <w:tmpl w:val="C5CE1548"/>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24" w15:restartNumberingAfterBreak="0">
    <w:nsid w:val="2C183E8A"/>
    <w:multiLevelType w:val="hybridMultilevel"/>
    <w:tmpl w:val="256615B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3AB20229"/>
    <w:multiLevelType w:val="multilevel"/>
    <w:tmpl w:val="3A5EB07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1F47C12"/>
    <w:multiLevelType w:val="multilevel"/>
    <w:tmpl w:val="10EA62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3BB6E25"/>
    <w:multiLevelType w:val="hybridMultilevel"/>
    <w:tmpl w:val="9B904B0C"/>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8" w15:restartNumberingAfterBreak="0">
    <w:nsid w:val="548B32C0"/>
    <w:multiLevelType w:val="hybridMultilevel"/>
    <w:tmpl w:val="535A261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49B76E6"/>
    <w:multiLevelType w:val="hybridMultilevel"/>
    <w:tmpl w:val="1D409D1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7645310"/>
    <w:multiLevelType w:val="hybridMultilevel"/>
    <w:tmpl w:val="E182C202"/>
    <w:lvl w:ilvl="0" w:tplc="4F922C0A">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9E32534"/>
    <w:multiLevelType w:val="hybridMultilevel"/>
    <w:tmpl w:val="E3F26B12"/>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20762E8"/>
    <w:multiLevelType w:val="multilevel"/>
    <w:tmpl w:val="4740DF1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4A30E72"/>
    <w:multiLevelType w:val="multilevel"/>
    <w:tmpl w:val="C6E6D8D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68C7789C"/>
    <w:multiLevelType w:val="hybridMultilevel"/>
    <w:tmpl w:val="80A22A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EF27C1C"/>
    <w:multiLevelType w:val="multilevel"/>
    <w:tmpl w:val="19B0E2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35D1288"/>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7642168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8" w15:restartNumberingAfterBreak="0">
    <w:nsid w:val="7A2C3EB3"/>
    <w:multiLevelType w:val="multilevel"/>
    <w:tmpl w:val="84B4631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9" w15:restartNumberingAfterBreak="0">
    <w:nsid w:val="7B0240C7"/>
    <w:multiLevelType w:val="hybridMultilevel"/>
    <w:tmpl w:val="6122A9E2"/>
    <w:lvl w:ilvl="0" w:tplc="9410D70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F3A1AB1"/>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num w:numId="1">
    <w:abstractNumId w:val="29"/>
  </w:num>
  <w:num w:numId="2">
    <w:abstractNumId w:val="19"/>
  </w:num>
  <w:num w:numId="3">
    <w:abstractNumId w:val="28"/>
  </w:num>
  <w:num w:numId="4">
    <w:abstractNumId w:val="22"/>
  </w:num>
  <w:num w:numId="5">
    <w:abstractNumId w:val="37"/>
  </w:num>
  <w:num w:numId="6">
    <w:abstractNumId w:val="38"/>
  </w:num>
  <w:num w:numId="7">
    <w:abstractNumId w:val="36"/>
  </w:num>
  <w:num w:numId="8">
    <w:abstractNumId w:val="40"/>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17"/>
  </w:num>
  <w:num w:numId="20">
    <w:abstractNumId w:val="16"/>
  </w:num>
  <w:num w:numId="21">
    <w:abstractNumId w:val="35"/>
  </w:num>
  <w:num w:numId="22">
    <w:abstractNumId w:val="32"/>
  </w:num>
  <w:num w:numId="23">
    <w:abstractNumId w:val="25"/>
  </w:num>
  <w:num w:numId="24">
    <w:abstractNumId w:val="33"/>
  </w:num>
  <w:num w:numId="25">
    <w:abstractNumId w:val="21"/>
  </w:num>
  <w:num w:numId="26">
    <w:abstractNumId w:val="26"/>
  </w:num>
  <w:num w:numId="27">
    <w:abstractNumId w:val="12"/>
  </w:num>
  <w:num w:numId="28">
    <w:abstractNumId w:val="20"/>
  </w:num>
  <w:num w:numId="29">
    <w:abstractNumId w:val="34"/>
  </w:num>
  <w:num w:numId="30">
    <w:abstractNumId w:val="31"/>
  </w:num>
  <w:num w:numId="31">
    <w:abstractNumId w:val="39"/>
  </w:num>
  <w:num w:numId="32">
    <w:abstractNumId w:val="30"/>
  </w:num>
  <w:num w:numId="33">
    <w:abstractNumId w:val="11"/>
  </w:num>
  <w:num w:numId="34">
    <w:abstractNumId w:val="10"/>
  </w:num>
  <w:num w:numId="35">
    <w:abstractNumId w:val="14"/>
  </w:num>
  <w:num w:numId="36">
    <w:abstractNumId w:val="24"/>
  </w:num>
  <w:num w:numId="37">
    <w:abstractNumId w:val="27"/>
  </w:num>
  <w:num w:numId="38">
    <w:abstractNumId w:val="18"/>
  </w:num>
  <w:num w:numId="39">
    <w:abstractNumId w:val="15"/>
  </w:num>
  <w:num w:numId="40">
    <w:abstractNumId w:val="13"/>
  </w:num>
  <w:num w:numId="41">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20"/>
  <w:characterSpacingControl w:val="doNotCompress"/>
  <w:hdrShapeDefaults>
    <o:shapedefaults v:ext="edit" spidmax="24578"/>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4BBA"/>
    <w:rsid w:val="000000CD"/>
    <w:rsid w:val="000137CF"/>
    <w:rsid w:val="00056551"/>
    <w:rsid w:val="00071AE9"/>
    <w:rsid w:val="000E07D7"/>
    <w:rsid w:val="000E2F59"/>
    <w:rsid w:val="001412B4"/>
    <w:rsid w:val="00182D78"/>
    <w:rsid w:val="00194DF6"/>
    <w:rsid w:val="002705C2"/>
    <w:rsid w:val="003E6DB3"/>
    <w:rsid w:val="00472379"/>
    <w:rsid w:val="00491CC3"/>
    <w:rsid w:val="004E1AED"/>
    <w:rsid w:val="0058064B"/>
    <w:rsid w:val="005C12A5"/>
    <w:rsid w:val="00635BAB"/>
    <w:rsid w:val="006D66E4"/>
    <w:rsid w:val="00753903"/>
    <w:rsid w:val="007C29C0"/>
    <w:rsid w:val="007E074F"/>
    <w:rsid w:val="007F6F1C"/>
    <w:rsid w:val="008061FD"/>
    <w:rsid w:val="008072B4"/>
    <w:rsid w:val="008923AD"/>
    <w:rsid w:val="008F789E"/>
    <w:rsid w:val="00957D2B"/>
    <w:rsid w:val="00976C75"/>
    <w:rsid w:val="00A1310C"/>
    <w:rsid w:val="00A4345F"/>
    <w:rsid w:val="00B108F9"/>
    <w:rsid w:val="00B66B12"/>
    <w:rsid w:val="00BB6DAE"/>
    <w:rsid w:val="00BD67AC"/>
    <w:rsid w:val="00C6333D"/>
    <w:rsid w:val="00C70601"/>
    <w:rsid w:val="00CC7818"/>
    <w:rsid w:val="00D47A97"/>
    <w:rsid w:val="00DC69B6"/>
    <w:rsid w:val="00E301B8"/>
    <w:rsid w:val="00E52DC2"/>
    <w:rsid w:val="00E94BBA"/>
    <w:rsid w:val="00FB282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4578"/>
    <o:shapelayout v:ext="edit">
      <o:idmap v:ext="edit" data="1"/>
    </o:shapelayout>
  </w:shapeDefaults>
  <w:decimalSymbol w:val="."/>
  <w:listSeparator w:val=","/>
  <w15:docId w15:val="{735F24B6-6C80-4001-B042-2FC3769843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before="120" w:after="200" w:line="264"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E1AED"/>
  </w:style>
  <w:style w:type="paragraph" w:styleId="Heading1">
    <w:name w:val="heading 1"/>
    <w:basedOn w:val="Normal"/>
    <w:next w:val="Normal"/>
    <w:link w:val="Heading1Char"/>
    <w:uiPriority w:val="9"/>
    <w:qFormat/>
    <w:rsid w:val="00A1310C"/>
    <w:pPr>
      <w:pBdr>
        <w:top w:val="single" w:sz="24" w:space="0" w:color="00264C" w:themeColor="text2" w:themeShade="BF"/>
        <w:left w:val="single" w:sz="24" w:space="0" w:color="00264C" w:themeColor="text2" w:themeShade="BF"/>
        <w:bottom w:val="single" w:sz="24" w:space="0" w:color="00264C" w:themeColor="text2" w:themeShade="BF"/>
        <w:right w:val="single" w:sz="24" w:space="0" w:color="00264C" w:themeColor="text2" w:themeShade="BF"/>
      </w:pBdr>
      <w:shd w:val="clear" w:color="auto" w:fill="00264C" w:themeFill="text2" w:themeFillShade="BF"/>
      <w:spacing w:after="0"/>
      <w:outlineLvl w:val="0"/>
    </w:pPr>
    <w:rPr>
      <w:rFonts w:asciiTheme="majorHAnsi" w:eastAsiaTheme="majorEastAsia" w:hAnsiTheme="majorHAnsi" w:cstheme="majorBidi"/>
      <w:caps/>
      <w:color w:val="FFFFFF" w:themeColor="background1"/>
      <w:spacing w:val="15"/>
    </w:rPr>
  </w:style>
  <w:style w:type="paragraph" w:styleId="Heading2">
    <w:name w:val="heading 2"/>
    <w:basedOn w:val="Normal"/>
    <w:next w:val="Normal"/>
    <w:link w:val="Heading2Char"/>
    <w:uiPriority w:val="9"/>
    <w:semiHidden/>
    <w:unhideWhenUsed/>
    <w:qFormat/>
    <w:rsid w:val="00D47A97"/>
    <w:pPr>
      <w:pBdr>
        <w:top w:val="single" w:sz="24" w:space="0" w:color="ADD6FF" w:themeColor="text2" w:themeTint="33"/>
        <w:left w:val="single" w:sz="24" w:space="0" w:color="ADD6FF" w:themeColor="text2" w:themeTint="33"/>
        <w:bottom w:val="single" w:sz="24" w:space="0" w:color="ADD6FF" w:themeColor="text2" w:themeTint="33"/>
        <w:right w:val="single" w:sz="24" w:space="0" w:color="ADD6FF" w:themeColor="text2" w:themeTint="33"/>
      </w:pBdr>
      <w:shd w:val="clear" w:color="auto" w:fill="ADD6FF" w:themeFill="text2" w:themeFillTint="33"/>
      <w:spacing w:after="0"/>
      <w:outlineLvl w:val="1"/>
    </w:pPr>
    <w:rPr>
      <w:rFonts w:asciiTheme="majorHAnsi" w:eastAsiaTheme="majorEastAsia" w:hAnsiTheme="majorHAnsi" w:cstheme="majorBidi"/>
      <w:caps/>
      <w:spacing w:val="15"/>
    </w:rPr>
  </w:style>
  <w:style w:type="paragraph" w:styleId="Heading3">
    <w:name w:val="heading 3"/>
    <w:basedOn w:val="Normal"/>
    <w:next w:val="Normal"/>
    <w:link w:val="Heading3Char"/>
    <w:uiPriority w:val="9"/>
    <w:semiHidden/>
    <w:unhideWhenUsed/>
    <w:qFormat/>
    <w:rsid w:val="00D47A97"/>
    <w:pPr>
      <w:pBdr>
        <w:top w:val="single" w:sz="6" w:space="2" w:color="003366" w:themeColor="text2"/>
      </w:pBdr>
      <w:spacing w:before="300" w:after="0"/>
      <w:outlineLvl w:val="2"/>
    </w:pPr>
    <w:rPr>
      <w:rFonts w:asciiTheme="majorHAnsi" w:eastAsiaTheme="majorEastAsia" w:hAnsiTheme="majorHAnsi" w:cstheme="majorBidi"/>
      <w:caps/>
      <w:color w:val="001933" w:themeColor="text2" w:themeShade="80"/>
      <w:spacing w:val="15"/>
    </w:rPr>
  </w:style>
  <w:style w:type="paragraph" w:styleId="Heading4">
    <w:name w:val="heading 4"/>
    <w:basedOn w:val="Normal"/>
    <w:next w:val="Normal"/>
    <w:link w:val="Heading4Char"/>
    <w:uiPriority w:val="9"/>
    <w:semiHidden/>
    <w:unhideWhenUsed/>
    <w:qFormat/>
    <w:rsid w:val="00D47A97"/>
    <w:pPr>
      <w:pBdr>
        <w:top w:val="dotted" w:sz="6" w:space="2" w:color="003366" w:themeColor="text2"/>
      </w:pBdr>
      <w:spacing w:before="200" w:after="0"/>
      <w:outlineLvl w:val="3"/>
    </w:pPr>
    <w:rPr>
      <w:rFonts w:asciiTheme="majorHAnsi" w:eastAsiaTheme="majorEastAsia" w:hAnsiTheme="majorHAnsi" w:cstheme="majorBidi"/>
      <w:caps/>
      <w:color w:val="00264C" w:themeColor="text2" w:themeShade="BF"/>
      <w:spacing w:val="10"/>
    </w:rPr>
  </w:style>
  <w:style w:type="paragraph" w:styleId="Heading5">
    <w:name w:val="heading 5"/>
    <w:basedOn w:val="Normal"/>
    <w:next w:val="Normal"/>
    <w:link w:val="Heading5Char"/>
    <w:uiPriority w:val="9"/>
    <w:semiHidden/>
    <w:unhideWhenUsed/>
    <w:qFormat/>
    <w:rsid w:val="00D47A97"/>
    <w:pPr>
      <w:pBdr>
        <w:bottom w:val="single" w:sz="6" w:space="1" w:color="003366" w:themeColor="text2"/>
      </w:pBdr>
      <w:spacing w:before="200" w:after="0"/>
      <w:outlineLvl w:val="4"/>
    </w:pPr>
    <w:rPr>
      <w:rFonts w:asciiTheme="majorHAnsi" w:eastAsiaTheme="majorEastAsia" w:hAnsiTheme="majorHAnsi" w:cstheme="majorBidi"/>
      <w:caps/>
      <w:color w:val="00264C" w:themeColor="text2" w:themeShade="BF"/>
      <w:spacing w:val="10"/>
    </w:rPr>
  </w:style>
  <w:style w:type="paragraph" w:styleId="Heading6">
    <w:name w:val="heading 6"/>
    <w:basedOn w:val="Normal"/>
    <w:next w:val="Normal"/>
    <w:link w:val="Heading6Char"/>
    <w:uiPriority w:val="9"/>
    <w:semiHidden/>
    <w:unhideWhenUsed/>
    <w:qFormat/>
    <w:rsid w:val="00D47A97"/>
    <w:pPr>
      <w:pBdr>
        <w:bottom w:val="dotted" w:sz="6" w:space="1" w:color="003366" w:themeColor="text2"/>
      </w:pBdr>
      <w:spacing w:before="200" w:after="0"/>
      <w:outlineLvl w:val="5"/>
    </w:pPr>
    <w:rPr>
      <w:rFonts w:asciiTheme="majorHAnsi" w:eastAsiaTheme="majorEastAsia" w:hAnsiTheme="majorHAnsi" w:cstheme="majorBidi"/>
      <w:caps/>
      <w:color w:val="00264C" w:themeColor="text2" w:themeShade="BF"/>
      <w:spacing w:val="10"/>
    </w:rPr>
  </w:style>
  <w:style w:type="paragraph" w:styleId="Heading7">
    <w:name w:val="heading 7"/>
    <w:basedOn w:val="Normal"/>
    <w:next w:val="Normal"/>
    <w:link w:val="Heading7Char"/>
    <w:uiPriority w:val="9"/>
    <w:semiHidden/>
    <w:unhideWhenUsed/>
    <w:qFormat/>
    <w:rsid w:val="00D47A97"/>
    <w:pPr>
      <w:spacing w:before="200" w:after="0"/>
      <w:outlineLvl w:val="6"/>
    </w:pPr>
    <w:rPr>
      <w:rFonts w:asciiTheme="majorHAnsi" w:eastAsiaTheme="majorEastAsia" w:hAnsiTheme="majorHAnsi" w:cstheme="majorBidi"/>
      <w:caps/>
      <w:color w:val="00264C" w:themeColor="text2" w:themeShade="BF"/>
      <w:spacing w:val="10"/>
    </w:rPr>
  </w:style>
  <w:style w:type="paragraph" w:styleId="Heading8">
    <w:name w:val="heading 8"/>
    <w:basedOn w:val="Normal"/>
    <w:next w:val="Normal"/>
    <w:link w:val="Heading8Char"/>
    <w:uiPriority w:val="9"/>
    <w:semiHidden/>
    <w:unhideWhenUsed/>
    <w:qFormat/>
    <w:rsid w:val="00D47A97"/>
    <w:pPr>
      <w:spacing w:before="200" w:after="0"/>
      <w:outlineLvl w:val="7"/>
    </w:pPr>
    <w:rPr>
      <w:rFonts w:asciiTheme="majorHAnsi" w:eastAsiaTheme="majorEastAsia" w:hAnsiTheme="majorHAnsi" w:cstheme="majorBidi"/>
      <w:caps/>
      <w:spacing w:val="10"/>
      <w:szCs w:val="18"/>
    </w:rPr>
  </w:style>
  <w:style w:type="paragraph" w:styleId="Heading9">
    <w:name w:val="heading 9"/>
    <w:basedOn w:val="Normal"/>
    <w:next w:val="Normal"/>
    <w:link w:val="Heading9Char"/>
    <w:uiPriority w:val="9"/>
    <w:semiHidden/>
    <w:unhideWhenUsed/>
    <w:qFormat/>
    <w:rsid w:val="00D47A97"/>
    <w:pPr>
      <w:spacing w:before="200" w:after="0"/>
      <w:outlineLvl w:val="8"/>
    </w:pPr>
    <w:rPr>
      <w:rFonts w:asciiTheme="majorHAnsi" w:eastAsiaTheme="majorEastAsia" w:hAnsiTheme="majorHAnsi" w:cstheme="majorBidi"/>
      <w:i/>
      <w:iCs/>
      <w:caps/>
      <w:spacing w:val="10"/>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1310C"/>
    <w:rPr>
      <w:rFonts w:asciiTheme="majorHAnsi" w:eastAsiaTheme="majorEastAsia" w:hAnsiTheme="majorHAnsi" w:cstheme="majorBidi"/>
      <w:caps/>
      <w:color w:val="FFFFFF" w:themeColor="background1"/>
      <w:spacing w:val="15"/>
      <w:shd w:val="clear" w:color="auto" w:fill="00264C" w:themeFill="text2" w:themeFillShade="BF"/>
    </w:rPr>
  </w:style>
  <w:style w:type="character" w:customStyle="1" w:styleId="Heading2Char">
    <w:name w:val="Heading 2 Char"/>
    <w:basedOn w:val="DefaultParagraphFont"/>
    <w:link w:val="Heading2"/>
    <w:uiPriority w:val="9"/>
    <w:rPr>
      <w:rFonts w:asciiTheme="majorHAnsi" w:eastAsiaTheme="majorEastAsia" w:hAnsiTheme="majorHAnsi" w:cstheme="majorBidi"/>
      <w:caps/>
      <w:spacing w:val="15"/>
      <w:shd w:val="clear" w:color="auto" w:fill="ADD6FF" w:themeFill="text2" w:themeFillTint="33"/>
    </w:rPr>
  </w:style>
  <w:style w:type="character" w:customStyle="1" w:styleId="Heading3Char">
    <w:name w:val="Heading 3 Char"/>
    <w:basedOn w:val="DefaultParagraphFont"/>
    <w:link w:val="Heading3"/>
    <w:uiPriority w:val="9"/>
    <w:rPr>
      <w:rFonts w:asciiTheme="majorHAnsi" w:eastAsiaTheme="majorEastAsia" w:hAnsiTheme="majorHAnsi" w:cstheme="majorBidi"/>
      <w:caps/>
      <w:color w:val="001933" w:themeColor="text2" w:themeShade="80"/>
      <w:spacing w:val="15"/>
    </w:rPr>
  </w:style>
  <w:style w:type="table" w:styleId="TableGrid">
    <w:name w:val="Table Grid"/>
    <w:basedOn w:val="TableNormal"/>
    <w:uiPriority w:val="39"/>
    <w:pPr>
      <w:spacing w:after="0" w:line="240" w:lineRule="auto"/>
    </w:pPr>
    <w:tblPr>
      <w:tblBorders>
        <w:top w:val="single" w:sz="4" w:space="0" w:color="003366" w:themeColor="text1"/>
        <w:left w:val="single" w:sz="4" w:space="0" w:color="003366" w:themeColor="text1"/>
        <w:bottom w:val="single" w:sz="4" w:space="0" w:color="003366" w:themeColor="text1"/>
        <w:right w:val="single" w:sz="4" w:space="0" w:color="003366" w:themeColor="text1"/>
        <w:insideH w:val="single" w:sz="4" w:space="0" w:color="003366" w:themeColor="text1"/>
        <w:insideV w:val="single" w:sz="4" w:space="0" w:color="003366" w:themeColor="text1"/>
      </w:tblBorders>
    </w:tblPr>
  </w:style>
  <w:style w:type="paragraph" w:styleId="Title">
    <w:name w:val="Title"/>
    <w:basedOn w:val="Normal"/>
    <w:link w:val="TitleChar"/>
    <w:uiPriority w:val="1"/>
    <w:qFormat/>
    <w:rsid w:val="00A1310C"/>
    <w:pPr>
      <w:spacing w:before="0" w:after="0"/>
    </w:pPr>
    <w:rPr>
      <w:rFonts w:asciiTheme="majorHAnsi" w:eastAsiaTheme="majorEastAsia" w:hAnsiTheme="majorHAnsi" w:cstheme="majorBidi"/>
      <w:caps/>
      <w:color w:val="00264C" w:themeColor="text2" w:themeShade="BF"/>
      <w:spacing w:val="10"/>
      <w:sz w:val="52"/>
      <w:szCs w:val="52"/>
    </w:rPr>
  </w:style>
  <w:style w:type="character" w:customStyle="1" w:styleId="TitleChar">
    <w:name w:val="Title Char"/>
    <w:basedOn w:val="DefaultParagraphFont"/>
    <w:link w:val="Title"/>
    <w:uiPriority w:val="1"/>
    <w:rsid w:val="00A1310C"/>
    <w:rPr>
      <w:rFonts w:asciiTheme="majorHAnsi" w:eastAsiaTheme="majorEastAsia" w:hAnsiTheme="majorHAnsi" w:cstheme="majorBidi"/>
      <w:caps/>
      <w:color w:val="00264C" w:themeColor="text2" w:themeShade="BF"/>
      <w:spacing w:val="10"/>
      <w:sz w:val="52"/>
      <w:szCs w:val="52"/>
    </w:rPr>
  </w:style>
  <w:style w:type="paragraph" w:styleId="Subtitle">
    <w:name w:val="Subtitle"/>
    <w:basedOn w:val="Normal"/>
    <w:next w:val="Normal"/>
    <w:link w:val="SubtitleChar"/>
    <w:uiPriority w:val="11"/>
    <w:semiHidden/>
    <w:unhideWhenUsed/>
    <w:qFormat/>
    <w:rsid w:val="004E1AED"/>
    <w:pPr>
      <w:numPr>
        <w:ilvl w:val="1"/>
      </w:numPr>
      <w:spacing w:after="160"/>
    </w:pPr>
    <w:rPr>
      <w:color w:val="00468E" w:themeColor="text1" w:themeTint="E6"/>
    </w:rPr>
  </w:style>
  <w:style w:type="character" w:customStyle="1" w:styleId="SubtitleChar">
    <w:name w:val="Subtitle Char"/>
    <w:basedOn w:val="DefaultParagraphFont"/>
    <w:link w:val="Subtitle"/>
    <w:uiPriority w:val="11"/>
    <w:semiHidden/>
    <w:rsid w:val="004E1AED"/>
    <w:rPr>
      <w:color w:val="00468E" w:themeColor="text1" w:themeTint="E6"/>
    </w:rPr>
  </w:style>
  <w:style w:type="character" w:styleId="IntenseEmphasis">
    <w:name w:val="Intense Emphasis"/>
    <w:basedOn w:val="DefaultParagraphFont"/>
    <w:uiPriority w:val="21"/>
    <w:semiHidden/>
    <w:unhideWhenUsed/>
    <w:qFormat/>
    <w:rsid w:val="004E1AED"/>
    <w:rPr>
      <w:i/>
      <w:iCs/>
      <w:color w:val="806000" w:themeColor="accent1" w:themeShade="80"/>
    </w:rPr>
  </w:style>
  <w:style w:type="paragraph" w:styleId="IntenseQuote">
    <w:name w:val="Intense Quote"/>
    <w:basedOn w:val="Normal"/>
    <w:next w:val="Normal"/>
    <w:link w:val="IntenseQuoteChar"/>
    <w:uiPriority w:val="30"/>
    <w:semiHidden/>
    <w:unhideWhenUsed/>
    <w:qFormat/>
    <w:rsid w:val="004E1AED"/>
    <w:pPr>
      <w:pBdr>
        <w:top w:val="single" w:sz="4" w:space="10" w:color="806000" w:themeColor="accent1" w:themeShade="80"/>
        <w:bottom w:val="single" w:sz="4" w:space="10" w:color="806000" w:themeColor="accent1" w:themeShade="80"/>
      </w:pBdr>
      <w:spacing w:before="360" w:after="360"/>
      <w:ind w:left="864" w:right="864"/>
      <w:jc w:val="center"/>
    </w:pPr>
    <w:rPr>
      <w:i/>
      <w:iCs/>
      <w:color w:val="806000" w:themeColor="accent1" w:themeShade="80"/>
    </w:rPr>
  </w:style>
  <w:style w:type="character" w:customStyle="1" w:styleId="IntenseQuoteChar">
    <w:name w:val="Intense Quote Char"/>
    <w:basedOn w:val="DefaultParagraphFont"/>
    <w:link w:val="IntenseQuote"/>
    <w:uiPriority w:val="30"/>
    <w:semiHidden/>
    <w:rsid w:val="004E1AED"/>
    <w:rPr>
      <w:i/>
      <w:iCs/>
      <w:color w:val="806000" w:themeColor="accent1" w:themeShade="80"/>
    </w:rPr>
  </w:style>
  <w:style w:type="character" w:styleId="IntenseReference">
    <w:name w:val="Intense Reference"/>
    <w:basedOn w:val="DefaultParagraphFont"/>
    <w:uiPriority w:val="32"/>
    <w:semiHidden/>
    <w:unhideWhenUsed/>
    <w:qFormat/>
    <w:rsid w:val="004E1AED"/>
    <w:rPr>
      <w:b/>
      <w:bCs/>
      <w:caps w:val="0"/>
      <w:smallCaps/>
      <w:color w:val="806000" w:themeColor="accent1" w:themeShade="80"/>
      <w:spacing w:val="5"/>
    </w:rPr>
  </w:style>
  <w:style w:type="character" w:customStyle="1" w:styleId="Heading4Char">
    <w:name w:val="Heading 4 Char"/>
    <w:basedOn w:val="DefaultParagraphFont"/>
    <w:link w:val="Heading4"/>
    <w:uiPriority w:val="9"/>
    <w:rPr>
      <w:rFonts w:asciiTheme="majorHAnsi" w:eastAsiaTheme="majorEastAsia" w:hAnsiTheme="majorHAnsi" w:cstheme="majorBidi"/>
      <w:caps/>
      <w:color w:val="00264C" w:themeColor="text2" w:themeShade="BF"/>
      <w:spacing w:val="10"/>
    </w:rPr>
  </w:style>
  <w:style w:type="character" w:customStyle="1" w:styleId="Heading5Char">
    <w:name w:val="Heading 5 Char"/>
    <w:basedOn w:val="DefaultParagraphFont"/>
    <w:link w:val="Heading5"/>
    <w:uiPriority w:val="9"/>
    <w:rPr>
      <w:rFonts w:asciiTheme="majorHAnsi" w:eastAsiaTheme="majorEastAsia" w:hAnsiTheme="majorHAnsi" w:cstheme="majorBidi"/>
      <w:caps/>
      <w:color w:val="00264C" w:themeColor="text2" w:themeShade="BF"/>
      <w:spacing w:val="10"/>
    </w:rPr>
  </w:style>
  <w:style w:type="character" w:customStyle="1" w:styleId="Heading6Char">
    <w:name w:val="Heading 6 Char"/>
    <w:basedOn w:val="DefaultParagraphFont"/>
    <w:link w:val="Heading6"/>
    <w:uiPriority w:val="9"/>
    <w:rPr>
      <w:rFonts w:asciiTheme="majorHAnsi" w:eastAsiaTheme="majorEastAsia" w:hAnsiTheme="majorHAnsi" w:cstheme="majorBidi"/>
      <w:caps/>
      <w:color w:val="00264C" w:themeColor="text2" w:themeShade="BF"/>
      <w:spacing w:val="10"/>
    </w:rPr>
  </w:style>
  <w:style w:type="character" w:customStyle="1" w:styleId="Heading7Char">
    <w:name w:val="Heading 7 Char"/>
    <w:basedOn w:val="DefaultParagraphFont"/>
    <w:link w:val="Heading7"/>
    <w:uiPriority w:val="9"/>
    <w:rPr>
      <w:rFonts w:asciiTheme="majorHAnsi" w:eastAsiaTheme="majorEastAsia" w:hAnsiTheme="majorHAnsi" w:cstheme="majorBidi"/>
      <w:caps/>
      <w:color w:val="00264C" w:themeColor="text2" w:themeShade="BF"/>
      <w:spacing w:val="10"/>
    </w:rPr>
  </w:style>
  <w:style w:type="character" w:customStyle="1" w:styleId="Heading8Char">
    <w:name w:val="Heading 8 Char"/>
    <w:basedOn w:val="DefaultParagraphFont"/>
    <w:link w:val="Heading8"/>
    <w:uiPriority w:val="9"/>
    <w:semiHidden/>
    <w:rsid w:val="00D47A97"/>
    <w:rPr>
      <w:rFonts w:asciiTheme="majorHAnsi" w:eastAsiaTheme="majorEastAsia" w:hAnsiTheme="majorHAnsi" w:cstheme="majorBidi"/>
      <w:caps/>
      <w:spacing w:val="10"/>
      <w:szCs w:val="18"/>
    </w:rPr>
  </w:style>
  <w:style w:type="character" w:customStyle="1" w:styleId="Heading9Char">
    <w:name w:val="Heading 9 Char"/>
    <w:basedOn w:val="DefaultParagraphFont"/>
    <w:link w:val="Heading9"/>
    <w:uiPriority w:val="9"/>
    <w:semiHidden/>
    <w:rsid w:val="00D47A97"/>
    <w:rPr>
      <w:rFonts w:asciiTheme="majorHAnsi" w:eastAsiaTheme="majorEastAsia" w:hAnsiTheme="majorHAnsi" w:cstheme="majorBidi"/>
      <w:i/>
      <w:iCs/>
      <w:caps/>
      <w:spacing w:val="10"/>
      <w:szCs w:val="18"/>
    </w:rPr>
  </w:style>
  <w:style w:type="paragraph" w:styleId="Caption">
    <w:name w:val="caption"/>
    <w:basedOn w:val="Normal"/>
    <w:next w:val="Normal"/>
    <w:uiPriority w:val="35"/>
    <w:semiHidden/>
    <w:unhideWhenUsed/>
    <w:qFormat/>
    <w:rsid w:val="00D47A97"/>
    <w:rPr>
      <w:b/>
      <w:bCs/>
      <w:color w:val="00264C" w:themeColor="text2" w:themeShade="BF"/>
      <w:szCs w:val="16"/>
    </w:rPr>
  </w:style>
  <w:style w:type="paragraph" w:styleId="TOCHeading">
    <w:name w:val="TOC Heading"/>
    <w:basedOn w:val="Heading1"/>
    <w:next w:val="Normal"/>
    <w:uiPriority w:val="39"/>
    <w:semiHidden/>
    <w:unhideWhenUsed/>
    <w:qFormat/>
    <w:pPr>
      <w:outlineLvl w:val="9"/>
    </w:pPr>
  </w:style>
  <w:style w:type="paragraph" w:styleId="BalloonText">
    <w:name w:val="Balloon Text"/>
    <w:basedOn w:val="Normal"/>
    <w:link w:val="BalloonTextChar"/>
    <w:uiPriority w:val="99"/>
    <w:semiHidden/>
    <w:unhideWhenUsed/>
    <w:rsid w:val="00D47A97"/>
    <w:pPr>
      <w:spacing w:before="0" w:after="0" w:line="240" w:lineRule="auto"/>
    </w:pPr>
    <w:rPr>
      <w:rFonts w:ascii="Segoe UI" w:hAnsi="Segoe UI" w:cs="Segoe UI"/>
      <w:szCs w:val="18"/>
    </w:rPr>
  </w:style>
  <w:style w:type="character" w:customStyle="1" w:styleId="BalloonTextChar">
    <w:name w:val="Balloon Text Char"/>
    <w:basedOn w:val="DefaultParagraphFont"/>
    <w:link w:val="BalloonText"/>
    <w:uiPriority w:val="99"/>
    <w:semiHidden/>
    <w:rsid w:val="00D47A97"/>
    <w:rPr>
      <w:rFonts w:ascii="Segoe UI" w:hAnsi="Segoe UI" w:cs="Segoe UI"/>
      <w:szCs w:val="18"/>
    </w:rPr>
  </w:style>
  <w:style w:type="paragraph" w:styleId="BodyText3">
    <w:name w:val="Body Text 3"/>
    <w:basedOn w:val="Normal"/>
    <w:link w:val="BodyText3Char"/>
    <w:uiPriority w:val="99"/>
    <w:semiHidden/>
    <w:unhideWhenUsed/>
    <w:rsid w:val="00D47A97"/>
    <w:pPr>
      <w:spacing w:after="120"/>
    </w:pPr>
    <w:rPr>
      <w:szCs w:val="16"/>
    </w:rPr>
  </w:style>
  <w:style w:type="character" w:customStyle="1" w:styleId="BodyText3Char">
    <w:name w:val="Body Text 3 Char"/>
    <w:basedOn w:val="DefaultParagraphFont"/>
    <w:link w:val="BodyText3"/>
    <w:uiPriority w:val="99"/>
    <w:semiHidden/>
    <w:rsid w:val="00D47A97"/>
    <w:rPr>
      <w:szCs w:val="16"/>
    </w:rPr>
  </w:style>
  <w:style w:type="paragraph" w:styleId="BodyTextIndent3">
    <w:name w:val="Body Text Indent 3"/>
    <w:basedOn w:val="Normal"/>
    <w:link w:val="BodyTextIndent3Char"/>
    <w:uiPriority w:val="99"/>
    <w:semiHidden/>
    <w:unhideWhenUsed/>
    <w:rsid w:val="00D47A97"/>
    <w:pPr>
      <w:spacing w:after="120"/>
      <w:ind w:left="360"/>
    </w:pPr>
    <w:rPr>
      <w:szCs w:val="16"/>
    </w:rPr>
  </w:style>
  <w:style w:type="character" w:customStyle="1" w:styleId="BodyTextIndent3Char">
    <w:name w:val="Body Text Indent 3 Char"/>
    <w:basedOn w:val="DefaultParagraphFont"/>
    <w:link w:val="BodyTextIndent3"/>
    <w:uiPriority w:val="99"/>
    <w:semiHidden/>
    <w:rsid w:val="00D47A97"/>
    <w:rPr>
      <w:szCs w:val="16"/>
    </w:rPr>
  </w:style>
  <w:style w:type="character" w:styleId="CommentReference">
    <w:name w:val="annotation reference"/>
    <w:basedOn w:val="DefaultParagraphFont"/>
    <w:uiPriority w:val="99"/>
    <w:semiHidden/>
    <w:unhideWhenUsed/>
    <w:rsid w:val="00D47A97"/>
    <w:rPr>
      <w:sz w:val="22"/>
      <w:szCs w:val="16"/>
    </w:rPr>
  </w:style>
  <w:style w:type="paragraph" w:styleId="CommentText">
    <w:name w:val="annotation text"/>
    <w:basedOn w:val="Normal"/>
    <w:link w:val="CommentTextChar"/>
    <w:uiPriority w:val="99"/>
    <w:semiHidden/>
    <w:unhideWhenUsed/>
    <w:rsid w:val="00D47A97"/>
    <w:pPr>
      <w:spacing w:line="240" w:lineRule="auto"/>
    </w:pPr>
    <w:rPr>
      <w:szCs w:val="20"/>
    </w:rPr>
  </w:style>
  <w:style w:type="character" w:customStyle="1" w:styleId="CommentTextChar">
    <w:name w:val="Comment Text Char"/>
    <w:basedOn w:val="DefaultParagraphFont"/>
    <w:link w:val="CommentText"/>
    <w:uiPriority w:val="99"/>
    <w:semiHidden/>
    <w:rsid w:val="00D47A97"/>
    <w:rPr>
      <w:szCs w:val="20"/>
    </w:rPr>
  </w:style>
  <w:style w:type="paragraph" w:styleId="CommentSubject">
    <w:name w:val="annotation subject"/>
    <w:basedOn w:val="CommentText"/>
    <w:next w:val="CommentText"/>
    <w:link w:val="CommentSubjectChar"/>
    <w:uiPriority w:val="99"/>
    <w:semiHidden/>
    <w:unhideWhenUsed/>
    <w:rsid w:val="00D47A97"/>
    <w:rPr>
      <w:b/>
      <w:bCs/>
    </w:rPr>
  </w:style>
  <w:style w:type="character" w:customStyle="1" w:styleId="CommentSubjectChar">
    <w:name w:val="Comment Subject Char"/>
    <w:basedOn w:val="CommentTextChar"/>
    <w:link w:val="CommentSubject"/>
    <w:uiPriority w:val="99"/>
    <w:semiHidden/>
    <w:rsid w:val="00D47A97"/>
    <w:rPr>
      <w:b/>
      <w:bCs/>
      <w:szCs w:val="20"/>
    </w:rPr>
  </w:style>
  <w:style w:type="paragraph" w:styleId="DocumentMap">
    <w:name w:val="Document Map"/>
    <w:basedOn w:val="Normal"/>
    <w:link w:val="DocumentMapChar"/>
    <w:uiPriority w:val="99"/>
    <w:semiHidden/>
    <w:unhideWhenUsed/>
    <w:rsid w:val="00D47A97"/>
    <w:pPr>
      <w:spacing w:before="0" w:after="0" w:line="240" w:lineRule="auto"/>
    </w:pPr>
    <w:rPr>
      <w:rFonts w:ascii="Segoe UI" w:hAnsi="Segoe UI" w:cs="Segoe UI"/>
      <w:szCs w:val="16"/>
    </w:rPr>
  </w:style>
  <w:style w:type="character" w:customStyle="1" w:styleId="DocumentMapChar">
    <w:name w:val="Document Map Char"/>
    <w:basedOn w:val="DefaultParagraphFont"/>
    <w:link w:val="DocumentMap"/>
    <w:uiPriority w:val="99"/>
    <w:semiHidden/>
    <w:rsid w:val="00D47A97"/>
    <w:rPr>
      <w:rFonts w:ascii="Segoe UI" w:hAnsi="Segoe UI" w:cs="Segoe UI"/>
      <w:szCs w:val="16"/>
    </w:rPr>
  </w:style>
  <w:style w:type="paragraph" w:styleId="EndnoteText">
    <w:name w:val="endnote text"/>
    <w:basedOn w:val="Normal"/>
    <w:link w:val="EndnoteTextChar"/>
    <w:uiPriority w:val="99"/>
    <w:semiHidden/>
    <w:unhideWhenUsed/>
    <w:rsid w:val="00D47A97"/>
    <w:pPr>
      <w:spacing w:before="0" w:after="0" w:line="240" w:lineRule="auto"/>
    </w:pPr>
    <w:rPr>
      <w:szCs w:val="20"/>
    </w:rPr>
  </w:style>
  <w:style w:type="character" w:customStyle="1" w:styleId="EndnoteTextChar">
    <w:name w:val="Endnote Text Char"/>
    <w:basedOn w:val="DefaultParagraphFont"/>
    <w:link w:val="EndnoteText"/>
    <w:uiPriority w:val="99"/>
    <w:semiHidden/>
    <w:rsid w:val="00D47A97"/>
    <w:rPr>
      <w:szCs w:val="20"/>
    </w:rPr>
  </w:style>
  <w:style w:type="paragraph" w:styleId="EnvelopeReturn">
    <w:name w:val="envelope return"/>
    <w:basedOn w:val="Normal"/>
    <w:uiPriority w:val="99"/>
    <w:semiHidden/>
    <w:unhideWhenUsed/>
    <w:rsid w:val="00D47A97"/>
    <w:pPr>
      <w:spacing w:before="0" w:after="0" w:line="240" w:lineRule="auto"/>
    </w:pPr>
    <w:rPr>
      <w:rFonts w:asciiTheme="majorHAnsi" w:eastAsiaTheme="majorEastAsia" w:hAnsiTheme="majorHAnsi" w:cstheme="majorBidi"/>
      <w:szCs w:val="20"/>
    </w:rPr>
  </w:style>
  <w:style w:type="paragraph" w:styleId="FootnoteText">
    <w:name w:val="footnote text"/>
    <w:basedOn w:val="Normal"/>
    <w:link w:val="FootnoteTextChar"/>
    <w:uiPriority w:val="99"/>
    <w:semiHidden/>
    <w:unhideWhenUsed/>
    <w:rsid w:val="00D47A97"/>
    <w:pPr>
      <w:spacing w:before="0" w:after="0" w:line="240" w:lineRule="auto"/>
    </w:pPr>
    <w:rPr>
      <w:szCs w:val="20"/>
    </w:rPr>
  </w:style>
  <w:style w:type="character" w:customStyle="1" w:styleId="FootnoteTextChar">
    <w:name w:val="Footnote Text Char"/>
    <w:basedOn w:val="DefaultParagraphFont"/>
    <w:link w:val="FootnoteText"/>
    <w:uiPriority w:val="99"/>
    <w:semiHidden/>
    <w:rsid w:val="00D47A97"/>
    <w:rPr>
      <w:szCs w:val="20"/>
    </w:rPr>
  </w:style>
  <w:style w:type="character" w:styleId="HTMLCode">
    <w:name w:val="HTML Code"/>
    <w:basedOn w:val="DefaultParagraphFont"/>
    <w:uiPriority w:val="99"/>
    <w:semiHidden/>
    <w:unhideWhenUsed/>
    <w:rsid w:val="00D47A97"/>
    <w:rPr>
      <w:rFonts w:ascii="Consolas" w:hAnsi="Consolas"/>
      <w:sz w:val="22"/>
      <w:szCs w:val="20"/>
    </w:rPr>
  </w:style>
  <w:style w:type="character" w:styleId="HTMLKeyboard">
    <w:name w:val="HTML Keyboard"/>
    <w:basedOn w:val="DefaultParagraphFont"/>
    <w:uiPriority w:val="99"/>
    <w:semiHidden/>
    <w:unhideWhenUsed/>
    <w:rsid w:val="00D47A97"/>
    <w:rPr>
      <w:rFonts w:ascii="Consolas" w:hAnsi="Consolas"/>
      <w:sz w:val="22"/>
      <w:szCs w:val="20"/>
    </w:rPr>
  </w:style>
  <w:style w:type="paragraph" w:styleId="HTMLPreformatted">
    <w:name w:val="HTML Preformatted"/>
    <w:basedOn w:val="Normal"/>
    <w:link w:val="HTMLPreformattedChar"/>
    <w:uiPriority w:val="99"/>
    <w:semiHidden/>
    <w:unhideWhenUsed/>
    <w:rsid w:val="00D47A97"/>
    <w:pPr>
      <w:spacing w:before="0" w:after="0" w:line="240" w:lineRule="auto"/>
    </w:pPr>
    <w:rPr>
      <w:rFonts w:ascii="Consolas" w:hAnsi="Consolas"/>
      <w:szCs w:val="20"/>
    </w:rPr>
  </w:style>
  <w:style w:type="character" w:customStyle="1" w:styleId="HTMLPreformattedChar">
    <w:name w:val="HTML Preformatted Char"/>
    <w:basedOn w:val="DefaultParagraphFont"/>
    <w:link w:val="HTMLPreformatted"/>
    <w:uiPriority w:val="99"/>
    <w:semiHidden/>
    <w:rsid w:val="00D47A97"/>
    <w:rPr>
      <w:rFonts w:ascii="Consolas" w:hAnsi="Consolas"/>
      <w:szCs w:val="20"/>
    </w:rPr>
  </w:style>
  <w:style w:type="character" w:styleId="HTMLTypewriter">
    <w:name w:val="HTML Typewriter"/>
    <w:basedOn w:val="DefaultParagraphFont"/>
    <w:uiPriority w:val="99"/>
    <w:semiHidden/>
    <w:unhideWhenUsed/>
    <w:rsid w:val="00D47A97"/>
    <w:rPr>
      <w:rFonts w:ascii="Consolas" w:hAnsi="Consolas"/>
      <w:sz w:val="22"/>
      <w:szCs w:val="20"/>
    </w:rPr>
  </w:style>
  <w:style w:type="paragraph" w:styleId="MacroText">
    <w:name w:val="macro"/>
    <w:link w:val="MacroTextChar"/>
    <w:uiPriority w:val="99"/>
    <w:semiHidden/>
    <w:unhideWhenUsed/>
    <w:rsid w:val="00D47A97"/>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Cs w:val="20"/>
    </w:rPr>
  </w:style>
  <w:style w:type="character" w:customStyle="1" w:styleId="MacroTextChar">
    <w:name w:val="Macro Text Char"/>
    <w:basedOn w:val="DefaultParagraphFont"/>
    <w:link w:val="MacroText"/>
    <w:uiPriority w:val="99"/>
    <w:semiHidden/>
    <w:rsid w:val="00D47A97"/>
    <w:rPr>
      <w:rFonts w:ascii="Consolas" w:hAnsi="Consolas"/>
      <w:szCs w:val="20"/>
    </w:rPr>
  </w:style>
  <w:style w:type="paragraph" w:styleId="PlainText">
    <w:name w:val="Plain Text"/>
    <w:basedOn w:val="Normal"/>
    <w:link w:val="PlainTextChar"/>
    <w:uiPriority w:val="99"/>
    <w:semiHidden/>
    <w:unhideWhenUsed/>
    <w:rsid w:val="00D47A97"/>
    <w:pPr>
      <w:spacing w:before="0" w:after="0" w:line="240" w:lineRule="auto"/>
    </w:pPr>
    <w:rPr>
      <w:rFonts w:ascii="Consolas" w:hAnsi="Consolas"/>
      <w:szCs w:val="21"/>
    </w:rPr>
  </w:style>
  <w:style w:type="character" w:customStyle="1" w:styleId="PlainTextChar">
    <w:name w:val="Plain Text Char"/>
    <w:basedOn w:val="DefaultParagraphFont"/>
    <w:link w:val="PlainText"/>
    <w:uiPriority w:val="99"/>
    <w:semiHidden/>
    <w:rsid w:val="00D47A97"/>
    <w:rPr>
      <w:rFonts w:ascii="Consolas" w:hAnsi="Consolas"/>
      <w:szCs w:val="21"/>
    </w:rPr>
  </w:style>
  <w:style w:type="paragraph" w:styleId="BlockText">
    <w:name w:val="Block Text"/>
    <w:basedOn w:val="Normal"/>
    <w:uiPriority w:val="99"/>
    <w:semiHidden/>
    <w:unhideWhenUsed/>
    <w:rsid w:val="00A1310C"/>
    <w:pPr>
      <w:pBdr>
        <w:top w:val="single" w:sz="2" w:space="10" w:color="806000" w:themeColor="accent1" w:themeShade="80" w:shadow="1"/>
        <w:left w:val="single" w:sz="2" w:space="10" w:color="806000" w:themeColor="accent1" w:themeShade="80" w:shadow="1"/>
        <w:bottom w:val="single" w:sz="2" w:space="10" w:color="806000" w:themeColor="accent1" w:themeShade="80" w:shadow="1"/>
        <w:right w:val="single" w:sz="2" w:space="10" w:color="806000" w:themeColor="accent1" w:themeShade="80" w:shadow="1"/>
      </w:pBdr>
      <w:ind w:left="1152" w:right="1152"/>
    </w:pPr>
    <w:rPr>
      <w:i/>
      <w:iCs/>
      <w:color w:val="806000" w:themeColor="accent1" w:themeShade="80"/>
    </w:rPr>
  </w:style>
  <w:style w:type="character" w:styleId="PlaceholderText">
    <w:name w:val="Placeholder Text"/>
    <w:basedOn w:val="DefaultParagraphFont"/>
    <w:uiPriority w:val="99"/>
    <w:semiHidden/>
    <w:rsid w:val="00A1310C"/>
    <w:rPr>
      <w:color w:val="3C3C3C" w:themeColor="background2" w:themeShade="40"/>
    </w:rPr>
  </w:style>
  <w:style w:type="paragraph" w:styleId="Header">
    <w:name w:val="header"/>
    <w:basedOn w:val="Normal"/>
    <w:link w:val="HeaderChar"/>
    <w:uiPriority w:val="99"/>
    <w:unhideWhenUsed/>
    <w:rsid w:val="004E1AED"/>
    <w:pPr>
      <w:spacing w:before="0" w:after="0" w:line="240" w:lineRule="auto"/>
    </w:pPr>
  </w:style>
  <w:style w:type="character" w:customStyle="1" w:styleId="HeaderChar">
    <w:name w:val="Header Char"/>
    <w:basedOn w:val="DefaultParagraphFont"/>
    <w:link w:val="Header"/>
    <w:uiPriority w:val="99"/>
    <w:rsid w:val="004E1AED"/>
  </w:style>
  <w:style w:type="paragraph" w:styleId="Footer">
    <w:name w:val="footer"/>
    <w:basedOn w:val="Normal"/>
    <w:link w:val="FooterChar"/>
    <w:uiPriority w:val="99"/>
    <w:unhideWhenUsed/>
    <w:rsid w:val="004E1AED"/>
    <w:pPr>
      <w:spacing w:before="0" w:after="0" w:line="240" w:lineRule="auto"/>
    </w:pPr>
  </w:style>
  <w:style w:type="character" w:customStyle="1" w:styleId="FooterChar">
    <w:name w:val="Footer Char"/>
    <w:basedOn w:val="DefaultParagraphFont"/>
    <w:link w:val="Footer"/>
    <w:uiPriority w:val="99"/>
    <w:rsid w:val="004E1AED"/>
  </w:style>
  <w:style w:type="paragraph" w:styleId="ListParagraph">
    <w:name w:val="List Paragraph"/>
    <w:basedOn w:val="Normal"/>
    <w:uiPriority w:val="34"/>
    <w:unhideWhenUsed/>
    <w:qFormat/>
    <w:rsid w:val="00BB6DAE"/>
    <w:pPr>
      <w:ind w:left="720"/>
      <w:contextualSpacing/>
    </w:pPr>
  </w:style>
  <w:style w:type="paragraph" w:customStyle="1" w:styleId="Default">
    <w:name w:val="Default"/>
    <w:rsid w:val="008072B4"/>
    <w:pPr>
      <w:autoSpaceDE w:val="0"/>
      <w:autoSpaceDN w:val="0"/>
      <w:adjustRightInd w:val="0"/>
      <w:spacing w:before="0" w:after="0" w:line="240" w:lineRule="auto"/>
    </w:pPr>
    <w:rPr>
      <w:rFonts w:ascii="Times New Roman" w:eastAsiaTheme="minorHAnsi" w:hAnsi="Times New Roman" w:cs="Times New Roman"/>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9190">
      <w:bodyDiv w:val="1"/>
      <w:marLeft w:val="0"/>
      <w:marRight w:val="0"/>
      <w:marTop w:val="0"/>
      <w:marBottom w:val="0"/>
      <w:divBdr>
        <w:top w:val="none" w:sz="0" w:space="0" w:color="auto"/>
        <w:left w:val="none" w:sz="0" w:space="0" w:color="auto"/>
        <w:bottom w:val="none" w:sz="0" w:space="0" w:color="auto"/>
        <w:right w:val="none" w:sz="0" w:space="0" w:color="auto"/>
      </w:divBdr>
    </w:div>
    <w:div w:id="37097726">
      <w:bodyDiv w:val="1"/>
      <w:marLeft w:val="0"/>
      <w:marRight w:val="0"/>
      <w:marTop w:val="0"/>
      <w:marBottom w:val="0"/>
      <w:divBdr>
        <w:top w:val="none" w:sz="0" w:space="0" w:color="auto"/>
        <w:left w:val="none" w:sz="0" w:space="0" w:color="auto"/>
        <w:bottom w:val="none" w:sz="0" w:space="0" w:color="auto"/>
        <w:right w:val="none" w:sz="0" w:space="0" w:color="auto"/>
      </w:divBdr>
    </w:div>
    <w:div w:id="306204766">
      <w:bodyDiv w:val="1"/>
      <w:marLeft w:val="0"/>
      <w:marRight w:val="0"/>
      <w:marTop w:val="0"/>
      <w:marBottom w:val="0"/>
      <w:divBdr>
        <w:top w:val="none" w:sz="0" w:space="0" w:color="auto"/>
        <w:left w:val="none" w:sz="0" w:space="0" w:color="auto"/>
        <w:bottom w:val="none" w:sz="0" w:space="0" w:color="auto"/>
        <w:right w:val="none" w:sz="0" w:space="0" w:color="auto"/>
      </w:divBdr>
    </w:div>
    <w:div w:id="411901788">
      <w:bodyDiv w:val="1"/>
      <w:marLeft w:val="0"/>
      <w:marRight w:val="0"/>
      <w:marTop w:val="0"/>
      <w:marBottom w:val="0"/>
      <w:divBdr>
        <w:top w:val="none" w:sz="0" w:space="0" w:color="auto"/>
        <w:left w:val="none" w:sz="0" w:space="0" w:color="auto"/>
        <w:bottom w:val="none" w:sz="0" w:space="0" w:color="auto"/>
        <w:right w:val="none" w:sz="0" w:space="0" w:color="auto"/>
      </w:divBdr>
    </w:div>
    <w:div w:id="662860261">
      <w:bodyDiv w:val="1"/>
      <w:marLeft w:val="0"/>
      <w:marRight w:val="0"/>
      <w:marTop w:val="0"/>
      <w:marBottom w:val="0"/>
      <w:divBdr>
        <w:top w:val="none" w:sz="0" w:space="0" w:color="auto"/>
        <w:left w:val="none" w:sz="0" w:space="0" w:color="auto"/>
        <w:bottom w:val="none" w:sz="0" w:space="0" w:color="auto"/>
        <w:right w:val="none" w:sz="0" w:space="0" w:color="auto"/>
      </w:divBdr>
    </w:div>
    <w:div w:id="1012954454">
      <w:bodyDiv w:val="1"/>
      <w:marLeft w:val="0"/>
      <w:marRight w:val="0"/>
      <w:marTop w:val="0"/>
      <w:marBottom w:val="0"/>
      <w:divBdr>
        <w:top w:val="none" w:sz="0" w:space="0" w:color="auto"/>
        <w:left w:val="none" w:sz="0" w:space="0" w:color="auto"/>
        <w:bottom w:val="none" w:sz="0" w:space="0" w:color="auto"/>
        <w:right w:val="none" w:sz="0" w:space="0" w:color="auto"/>
      </w:divBdr>
    </w:div>
    <w:div w:id="1475680846">
      <w:bodyDiv w:val="1"/>
      <w:marLeft w:val="0"/>
      <w:marRight w:val="0"/>
      <w:marTop w:val="0"/>
      <w:marBottom w:val="0"/>
      <w:divBdr>
        <w:top w:val="none" w:sz="0" w:space="0" w:color="auto"/>
        <w:left w:val="none" w:sz="0" w:space="0" w:color="auto"/>
        <w:bottom w:val="none" w:sz="0" w:space="0" w:color="auto"/>
        <w:right w:val="none" w:sz="0" w:space="0" w:color="auto"/>
      </w:divBdr>
    </w:div>
    <w:div w:id="1527593420">
      <w:bodyDiv w:val="1"/>
      <w:marLeft w:val="0"/>
      <w:marRight w:val="0"/>
      <w:marTop w:val="0"/>
      <w:marBottom w:val="0"/>
      <w:divBdr>
        <w:top w:val="none" w:sz="0" w:space="0" w:color="auto"/>
        <w:left w:val="none" w:sz="0" w:space="0" w:color="auto"/>
        <w:bottom w:val="none" w:sz="0" w:space="0" w:color="auto"/>
        <w:right w:val="none" w:sz="0" w:space="0" w:color="auto"/>
      </w:divBdr>
    </w:div>
    <w:div w:id="19469587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bergmann\Downloads\tf03749967.dotx"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Banded">
  <a:themeElements>
    <a:clrScheme name="Custom 10">
      <a:dk1>
        <a:srgbClr val="003366"/>
      </a:dk1>
      <a:lt1>
        <a:srgbClr val="FFFFFF"/>
      </a:lt1>
      <a:dk2>
        <a:srgbClr val="003366"/>
      </a:dk2>
      <a:lt2>
        <a:srgbClr val="F2F2F2"/>
      </a:lt2>
      <a:accent1>
        <a:srgbClr val="FFC000"/>
      </a:accent1>
      <a:accent2>
        <a:srgbClr val="A5D028"/>
      </a:accent2>
      <a:accent3>
        <a:srgbClr val="08CC78"/>
      </a:accent3>
      <a:accent4>
        <a:srgbClr val="F24099"/>
      </a:accent4>
      <a:accent5>
        <a:srgbClr val="828288"/>
      </a:accent5>
      <a:accent6>
        <a:srgbClr val="F56617"/>
      </a:accent6>
      <a:hlink>
        <a:srgbClr val="005DBA"/>
      </a:hlink>
      <a:folHlink>
        <a:srgbClr val="6C606A"/>
      </a:folHlink>
    </a:clrScheme>
    <a:fontScheme name="Banded">
      <a:majorFont>
        <a:latin typeface="Corbel" panose="020B0503020204020204"/>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orbel" panose="020B0503020204020204"/>
        <a:ea typeface=""/>
        <a:cs typeface=""/>
        <a:font script="Jpan" typeface="ＭＳ ゴシック"/>
        <a:font script="Hang" typeface="맑은 고딕"/>
        <a:font script="Hans" typeface="宋体"/>
        <a:font script="Hant" typeface="新細明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Banded">
      <a:fillStyleLst>
        <a:solidFill>
          <a:schemeClr val="phClr"/>
        </a:solidFill>
        <a:gradFill rotWithShape="1">
          <a:gsLst>
            <a:gs pos="0">
              <a:schemeClr val="phClr">
                <a:tint val="65000"/>
                <a:satMod val="120000"/>
                <a:lumMod val="107000"/>
              </a:schemeClr>
            </a:gs>
            <a:gs pos="50000">
              <a:schemeClr val="phClr">
                <a:tint val="70000"/>
                <a:satMod val="124000"/>
                <a:lumMod val="103000"/>
              </a:schemeClr>
            </a:gs>
            <a:gs pos="100000">
              <a:schemeClr val="phClr">
                <a:tint val="85000"/>
                <a:satMod val="120000"/>
                <a:lumMod val="100000"/>
              </a:schemeClr>
            </a:gs>
          </a:gsLst>
          <a:lin ang="5400000" scaled="0"/>
        </a:gradFill>
        <a:gradFill rotWithShape="1">
          <a:gsLst>
            <a:gs pos="0">
              <a:schemeClr val="phClr">
                <a:tint val="85000"/>
                <a:shade val="98000"/>
                <a:satMod val="110000"/>
                <a:lumMod val="103000"/>
              </a:schemeClr>
            </a:gs>
            <a:gs pos="50000">
              <a:schemeClr val="phClr">
                <a:shade val="85000"/>
                <a:satMod val="105000"/>
                <a:lumMod val="100000"/>
              </a:schemeClr>
            </a:gs>
            <a:gs pos="100000">
              <a:schemeClr val="phClr">
                <a:shade val="60000"/>
                <a:satMod val="120000"/>
                <a:lumMod val="100000"/>
              </a:schemeClr>
            </a:gs>
          </a:gsLst>
          <a:lin ang="5400000" scaled="0"/>
        </a:gradFill>
      </a:fillStyleLst>
      <a:lnStyleLst>
        <a:ln w="9525" cap="flat" cmpd="sng" algn="ctr">
          <a:solidFill>
            <a:schemeClr val="phClr"/>
          </a:solidFill>
          <a:prstDash val="solid"/>
        </a:ln>
        <a:ln w="12700" cap="flat" cmpd="sng" algn="ctr">
          <a:solidFill>
            <a:schemeClr val="phClr"/>
          </a:solidFill>
          <a:prstDash val="solid"/>
        </a:ln>
        <a:ln w="25400" cap="flat" cmpd="sng" algn="ctr">
          <a:solidFill>
            <a:schemeClr val="phClr"/>
          </a:solidFill>
          <a:prstDash val="solid"/>
        </a:ln>
      </a:lnStyleLst>
      <a:effectStyleLst>
        <a:effectStyle>
          <a:effectLst/>
        </a:effectStyle>
        <a:effectStyle>
          <a:effectLst>
            <a:outerShdw blurRad="50800" dist="15875" dir="5400000" algn="ctr" rotWithShape="0">
              <a:srgbClr val="000000">
                <a:alpha val="68000"/>
              </a:srgbClr>
            </a:outerShdw>
          </a:effectLst>
        </a:effectStyle>
        <a:effectStyle>
          <a:effectLst>
            <a:outerShdw blurRad="88900" dist="27940" dir="5400000" algn="ctr" rotWithShape="0">
              <a:srgbClr val="000000">
                <a:alpha val="63000"/>
              </a:srgbClr>
            </a:outerShdw>
          </a:effectLst>
        </a:effectStyle>
      </a:effectStyleLst>
      <a:bgFillStyleLst>
        <a:solidFill>
          <a:schemeClr val="phClr"/>
        </a:solidFill>
        <a:blipFill rotWithShape="1">
          <a:blip xmlns:r="http://schemas.openxmlformats.org/officeDocument/2006/relationships" r:embed="rId1">
            <a:duotone>
              <a:schemeClr val="phClr"/>
              <a:schemeClr val="phClr">
                <a:shade val="91000"/>
                <a:satMod val="105000"/>
              </a:schemeClr>
            </a:duotone>
          </a:blip>
          <a:tile tx="0" ty="0" sx="100000" sy="100000" flip="none" algn="tl"/>
        </a:blipFill>
        <a:gradFill rotWithShape="1">
          <a:gsLst>
            <a:gs pos="0">
              <a:schemeClr val="phClr">
                <a:tint val="100000"/>
                <a:shade val="0"/>
                <a:satMod val="100000"/>
              </a:schemeClr>
            </a:gs>
            <a:gs pos="100000">
              <a:schemeClr val="phClr">
                <a:shade val="100000"/>
                <a:satMod val="100000"/>
              </a:schemeClr>
            </a:gs>
          </a:gsLst>
          <a:lin ang="5400000" scaled="0"/>
        </a:gradFill>
      </a:bgFillStyleLst>
    </a:fmtScheme>
  </a:themeElements>
  <a:objectDefaults/>
  <a:extraClrSchemeLst/>
  <a:extLst>
    <a:ext uri="{05A4C25C-085E-4340-85A3-A5531E510DB2}">
      <thm15:themeFamily xmlns:thm15="http://schemas.microsoft.com/office/thememl/2012/main" name="Banded" id="{98DFF888-2449-4D28-977C-6306C017633E}" vid="{9792607F-9579-4224-82FF-9C88C3E1E53D}"/>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TemplateFile" ma:contentTypeID="0x0101006EDDDB5EE6D98C44930B742096920B300400F5B6D36B3EF94B4E9A635CDF2A18F5B8" ma:contentTypeVersion="72" ma:contentTypeDescription="Create a new document." ma:contentTypeScope="" ma:versionID="a23e56308344d904b51738559c3d67c9">
  <xsd:schema xmlns:xsd="http://www.w3.org/2001/XMLSchema" xmlns:xs="http://www.w3.org/2001/XMLSchema" xmlns:p="http://schemas.microsoft.com/office/2006/metadata/properties" xmlns:ns2="4873beb7-5857-4685-be1f-d57550cc96cc" targetNamespace="http://schemas.microsoft.com/office/2006/metadata/properties" ma:root="true" ma:fieldsID="cd0908cc4600e77bf5da051303e00c8d" ns2:_="">
    <xsd:import namespace="4873beb7-5857-4685-be1f-d57550cc96cc"/>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73beb7-5857-4685-be1f-d57550cc96cc"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8:00:00Z" ma:format="DateTime"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1df42cc3-2301-4f11-a52a-6ead923c29ed}"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2FBD1B11-2ACE-4FDC-B5A3-635D4ADF6F1B}" ma:internalName="CSXSubmissionMarket" ma:readOnly="false" ma:showField="MarketName" ma:web="4873beb7-5857-4685-be1f-d57550cc96cc">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7fc0d542-15c6-4882-a8e3-13bca44403fb}"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9E343742-310B-4684-A24C-1D137CB4B230}" ma:internalName="InProjectListLookup" ma:readOnly="true" ma:showField="InProjectLis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1490b8a4-2706-41ec-b5e3-73176dccf34e}"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9E343742-310B-4684-A24C-1D137CB4B230}" ma:internalName="LastCompleteVersionLookup" ma:readOnly="true" ma:showField="LastComplete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9E343742-310B-4684-A24C-1D137CB4B230}" ma:internalName="LastPreviewErrorLookup" ma:readOnly="true" ma:showField="LastPreview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9E343742-310B-4684-A24C-1D137CB4B230}" ma:internalName="LastPreviewResultLookup" ma:readOnly="true" ma:showField="LastPreview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9E343742-310B-4684-A24C-1D137CB4B230}" ma:internalName="LastPreviewAttemptDateLookup" ma:readOnly="true" ma:showField="LastPreview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9E343742-310B-4684-A24C-1D137CB4B230}" ma:internalName="LastPreviewedByLookup" ma:readOnly="true" ma:showField="LastPreview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9E343742-310B-4684-A24C-1D137CB4B230}" ma:internalName="LastPreviewTimeLookup" ma:readOnly="true" ma:showField="LastPreview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9E343742-310B-4684-A24C-1D137CB4B230}" ma:internalName="LastPreviewVersionLookup" ma:readOnly="true" ma:showField="LastPreview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9E343742-310B-4684-A24C-1D137CB4B230}" ma:internalName="LastPublishErrorLookup" ma:readOnly="true" ma:showField="LastPublish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9E343742-310B-4684-A24C-1D137CB4B230}" ma:internalName="LastPublishResultLookup" ma:readOnly="true" ma:showField="LastPublish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9E343742-310B-4684-A24C-1D137CB4B230}" ma:internalName="LastPublishAttemptDateLookup" ma:readOnly="true" ma:showField="LastPublish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9E343742-310B-4684-A24C-1D137CB4B230}" ma:internalName="LastPublishedByLookup" ma:readOnly="true" ma:showField="LastPublish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9E343742-310B-4684-A24C-1D137CB4B230}" ma:internalName="LastPublishTimeLookup" ma:readOnly="true" ma:showField="LastPublish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9E343742-310B-4684-A24C-1D137CB4B230}" ma:internalName="LastPublishVersionLookup" ma:readOnly="true" ma:showField="LastPublish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7DD1DCEC-E449-43D3-891F-7DC62F62AD21}" ma:internalName="LocLastLocAttemptVersionLookup" ma:readOnly="false" ma:showField="LastLocAttemptVersion" ma:web="4873beb7-5857-4685-be1f-d57550cc96cc">
      <xsd:simpleType>
        <xsd:restriction base="dms:Lookup"/>
      </xsd:simpleType>
    </xsd:element>
    <xsd:element name="LocLastLocAttemptVersionTypeLookup" ma:index="72" nillable="true" ma:displayName="Loc Last Loc Attempt Version Type" ma:default="" ma:list="{7DD1DCEC-E449-43D3-891F-7DC62F62AD21}" ma:internalName="LocLastLocAttemptVersionTypeLookup" ma:readOnly="true" ma:showField="LastLocAttemptVersionType" ma:web="4873beb7-5857-4685-be1f-d57550cc96cc">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7DD1DCEC-E449-43D3-891F-7DC62F62AD21}" ma:internalName="LocNewPublishedVersionLookup" ma:readOnly="true" ma:showField="NewPublishedVersion" ma:web="4873beb7-5857-4685-be1f-d57550cc96cc">
      <xsd:simpleType>
        <xsd:restriction base="dms:Lookup"/>
      </xsd:simpleType>
    </xsd:element>
    <xsd:element name="LocOverallHandbackStatusLookup" ma:index="76" nillable="true" ma:displayName="Loc Overall Handback Status" ma:default="" ma:list="{7DD1DCEC-E449-43D3-891F-7DC62F62AD21}" ma:internalName="LocOverallHandbackStatusLookup" ma:readOnly="true" ma:showField="OverallHandbackStatus" ma:web="4873beb7-5857-4685-be1f-d57550cc96cc">
      <xsd:simpleType>
        <xsd:restriction base="dms:Lookup"/>
      </xsd:simpleType>
    </xsd:element>
    <xsd:element name="LocOverallLocStatusLookup" ma:index="77" nillable="true" ma:displayName="Loc Overall Localize Status" ma:default="" ma:list="{7DD1DCEC-E449-43D3-891F-7DC62F62AD21}" ma:internalName="LocOverallLocStatusLookup" ma:readOnly="true" ma:showField="OverallLocStatus" ma:web="4873beb7-5857-4685-be1f-d57550cc96cc">
      <xsd:simpleType>
        <xsd:restriction base="dms:Lookup"/>
      </xsd:simpleType>
    </xsd:element>
    <xsd:element name="LocOverallPreviewStatusLookup" ma:index="78" nillable="true" ma:displayName="Loc Overall Preview Status" ma:default="" ma:list="{7DD1DCEC-E449-43D3-891F-7DC62F62AD21}" ma:internalName="LocOverallPreviewStatusLookup" ma:readOnly="true" ma:showField="OverallPreviewStatus" ma:web="4873beb7-5857-4685-be1f-d57550cc96cc">
      <xsd:simpleType>
        <xsd:restriction base="dms:Lookup"/>
      </xsd:simpleType>
    </xsd:element>
    <xsd:element name="LocOverallPublishStatusLookup" ma:index="79" nillable="true" ma:displayName="Loc Overall Publish Status" ma:default="" ma:list="{7DD1DCEC-E449-43D3-891F-7DC62F62AD21}" ma:internalName="LocOverallPublishStatusLookup" ma:readOnly="true" ma:showField="OverallPublishStatus" ma:web="4873beb7-5857-4685-be1f-d57550cc96cc">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7DD1DCEC-E449-43D3-891F-7DC62F62AD21}" ma:internalName="LocProcessedForHandoffsLookup" ma:readOnly="true" ma:showField="ProcessedForHandoffs" ma:web="4873beb7-5857-4685-be1f-d57550cc96cc">
      <xsd:simpleType>
        <xsd:restriction base="dms:Lookup"/>
      </xsd:simpleType>
    </xsd:element>
    <xsd:element name="LocProcessedForMarketsLookup" ma:index="82" nillable="true" ma:displayName="Loc Processed For Markets" ma:default="" ma:list="{7DD1DCEC-E449-43D3-891F-7DC62F62AD21}" ma:internalName="LocProcessedForMarketsLookup" ma:readOnly="true" ma:showField="ProcessedForMarkets" ma:web="4873beb7-5857-4685-be1f-d57550cc96cc">
      <xsd:simpleType>
        <xsd:restriction base="dms:Lookup"/>
      </xsd:simpleType>
    </xsd:element>
    <xsd:element name="LocPublishedDependentAssetsLookup" ma:index="83" nillable="true" ma:displayName="Loc Published Dependent Assets" ma:default="" ma:list="{7DD1DCEC-E449-43D3-891F-7DC62F62AD21}" ma:internalName="LocPublishedDependentAssetsLookup" ma:readOnly="true" ma:showField="PublishedDependentAssets" ma:web="4873beb7-5857-4685-be1f-d57550cc96cc">
      <xsd:simpleType>
        <xsd:restriction base="dms:Lookup"/>
      </xsd:simpleType>
    </xsd:element>
    <xsd:element name="LocPublishedLinkedAssetsLookup" ma:index="84" nillable="true" ma:displayName="Loc Published Linked Assets" ma:default="" ma:list="{7DD1DCEC-E449-43D3-891F-7DC62F62AD21}" ma:internalName="LocPublishedLinkedAssetsLookup" ma:readOnly="true" ma:showField="PublishedLinkedAssets" ma:web="4873beb7-5857-4685-be1f-d57550cc96cc">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00f02cb3-2c7c-424a-9c61-10e9b6878429}"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2FBD1B11-2ACE-4FDC-B5A3-635D4ADF6F1B}" ma:internalName="Markets" ma:readOnly="false" ma:showField="MarketNa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9E343742-310B-4684-A24C-1D137CB4B230}" ma:internalName="NumOfRatingsLookup" ma:readOnly="true" ma:showField="NumOfRating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9E343742-310B-4684-A24C-1D137CB4B230}" ma:internalName="PublishStatusLookup" ma:readOnly="false" ma:showField="PublishStatu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93aef74d-6c78-4815-8310-51477dceeccc}"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530f955b-6704-4601-bd83-f81d87f1e440}" ma:internalName="TaxCatchAll" ma:showField="CatchAllData"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530f955b-6704-4601-bd83-f81d87f1e440}" ma:internalName="TaxCatchAllLabel" ma:readOnly="true" ma:showField="CatchAllDataLabel"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APDescription xmlns="4873beb7-5857-4685-be1f-d57550cc96cc" xsi:nil="true"/>
    <AssetExpire xmlns="4873beb7-5857-4685-be1f-d57550cc96cc">2029-01-01T08:00:00+00:00</AssetExpire>
    <CampaignTagsTaxHTField0 xmlns="4873beb7-5857-4685-be1f-d57550cc96cc">
      <Terms xmlns="http://schemas.microsoft.com/office/infopath/2007/PartnerControls"/>
    </CampaignTagsTaxHTField0>
    <IntlLangReviewDate xmlns="4873beb7-5857-4685-be1f-d57550cc96cc" xsi:nil="true"/>
    <TPFriendlyName xmlns="4873beb7-5857-4685-be1f-d57550cc96cc" xsi:nil="true"/>
    <IntlLangReview xmlns="4873beb7-5857-4685-be1f-d57550cc96cc">false</IntlLangReview>
    <LocLastLocAttemptVersionLookup xmlns="4873beb7-5857-4685-be1f-d57550cc96cc">864570</LocLastLocAttemptVersionLookup>
    <PolicheckWords xmlns="4873beb7-5857-4685-be1f-d57550cc96cc" xsi:nil="true"/>
    <SubmitterId xmlns="4873beb7-5857-4685-be1f-d57550cc96cc" xsi:nil="true"/>
    <AcquiredFrom xmlns="4873beb7-5857-4685-be1f-d57550cc96cc">Internal MS</AcquiredFrom>
    <EditorialStatus xmlns="4873beb7-5857-4685-be1f-d57550cc96cc">Complete</EditorialStatus>
    <Markets xmlns="4873beb7-5857-4685-be1f-d57550cc96cc"/>
    <OriginAsset xmlns="4873beb7-5857-4685-be1f-d57550cc96cc" xsi:nil="true"/>
    <AssetStart xmlns="4873beb7-5857-4685-be1f-d57550cc96cc">2012-11-01T04:53:00+00:00</AssetStart>
    <FriendlyTitle xmlns="4873beb7-5857-4685-be1f-d57550cc96cc" xsi:nil="true"/>
    <MarketSpecific xmlns="4873beb7-5857-4685-be1f-d57550cc96cc">false</MarketSpecific>
    <TPNamespace xmlns="4873beb7-5857-4685-be1f-d57550cc96cc" xsi:nil="true"/>
    <PublishStatusLookup xmlns="4873beb7-5857-4685-be1f-d57550cc96cc">
      <Value>1655138</Value>
    </PublishStatusLookup>
    <APAuthor xmlns="4873beb7-5857-4685-be1f-d57550cc96cc">
      <UserInfo>
        <DisplayName>MIDDLEEAST\v-keerth</DisplayName>
        <AccountId>2799</AccountId>
        <AccountType/>
      </UserInfo>
    </APAuthor>
    <TPCommandLine xmlns="4873beb7-5857-4685-be1f-d57550cc96cc" xsi:nil="true"/>
    <IntlLangReviewer xmlns="4873beb7-5857-4685-be1f-d57550cc96cc" xsi:nil="true"/>
    <OpenTemplate xmlns="4873beb7-5857-4685-be1f-d57550cc96cc">true</OpenTemplate>
    <CSXSubmissionDate xmlns="4873beb7-5857-4685-be1f-d57550cc96cc" xsi:nil="true"/>
    <TaxCatchAll xmlns="4873beb7-5857-4685-be1f-d57550cc96cc"/>
    <Manager xmlns="4873beb7-5857-4685-be1f-d57550cc96cc" xsi:nil="true"/>
    <NumericId xmlns="4873beb7-5857-4685-be1f-d57550cc96cc" xsi:nil="true"/>
    <ParentAssetId xmlns="4873beb7-5857-4685-be1f-d57550cc96cc" xsi:nil="true"/>
    <OriginalSourceMarket xmlns="4873beb7-5857-4685-be1f-d57550cc96cc" xsi:nil="true"/>
    <ApprovalStatus xmlns="4873beb7-5857-4685-be1f-d57550cc96cc">InProgress</ApprovalStatus>
    <TPComponent xmlns="4873beb7-5857-4685-be1f-d57550cc96cc" xsi:nil="true"/>
    <EditorialTags xmlns="4873beb7-5857-4685-be1f-d57550cc96cc" xsi:nil="true"/>
    <TPExecutable xmlns="4873beb7-5857-4685-be1f-d57550cc96cc" xsi:nil="true"/>
    <TPLaunchHelpLink xmlns="4873beb7-5857-4685-be1f-d57550cc96cc" xsi:nil="true"/>
    <LocComments xmlns="4873beb7-5857-4685-be1f-d57550cc96cc" xsi:nil="true"/>
    <LocRecommendedHandoff xmlns="4873beb7-5857-4685-be1f-d57550cc96cc" xsi:nil="true"/>
    <SourceTitle xmlns="4873beb7-5857-4685-be1f-d57550cc96cc" xsi:nil="true"/>
    <CSXUpdate xmlns="4873beb7-5857-4685-be1f-d57550cc96cc">false</CSXUpdate>
    <IntlLocPriority xmlns="4873beb7-5857-4685-be1f-d57550cc96cc" xsi:nil="true"/>
    <UAProjectedTotalWords xmlns="4873beb7-5857-4685-be1f-d57550cc96cc" xsi:nil="true"/>
    <AssetType xmlns="4873beb7-5857-4685-be1f-d57550cc96cc">TP</AssetType>
    <MachineTranslated xmlns="4873beb7-5857-4685-be1f-d57550cc96cc">false</MachineTranslated>
    <OutputCachingOn xmlns="4873beb7-5857-4685-be1f-d57550cc96cc">false</OutputCachingOn>
    <TemplateStatus xmlns="4873beb7-5857-4685-be1f-d57550cc96cc">Complete</TemplateStatus>
    <IsSearchable xmlns="4873beb7-5857-4685-be1f-d57550cc96cc">true</IsSearchable>
    <ContentItem xmlns="4873beb7-5857-4685-be1f-d57550cc96cc" xsi:nil="true"/>
    <HandoffToMSDN xmlns="4873beb7-5857-4685-be1f-d57550cc96cc" xsi:nil="true"/>
    <ShowIn xmlns="4873beb7-5857-4685-be1f-d57550cc96cc">Show everywhere</ShowIn>
    <ThumbnailAssetId xmlns="4873beb7-5857-4685-be1f-d57550cc96cc" xsi:nil="true"/>
    <UALocComments xmlns="4873beb7-5857-4685-be1f-d57550cc96cc" xsi:nil="true"/>
    <UALocRecommendation xmlns="4873beb7-5857-4685-be1f-d57550cc96cc">Localize</UALocRecommendation>
    <LastModifiedDateTime xmlns="4873beb7-5857-4685-be1f-d57550cc96cc" xsi:nil="true"/>
    <LegacyData xmlns="4873beb7-5857-4685-be1f-d57550cc96cc" xsi:nil="true"/>
    <LocManualTestRequired xmlns="4873beb7-5857-4685-be1f-d57550cc96cc">false</LocManualTestRequired>
    <LocMarketGroupTiers2 xmlns="4873beb7-5857-4685-be1f-d57550cc96cc" xsi:nil="true"/>
    <ClipArtFilename xmlns="4873beb7-5857-4685-be1f-d57550cc96cc" xsi:nil="true"/>
    <TPApplication xmlns="4873beb7-5857-4685-be1f-d57550cc96cc" xsi:nil="true"/>
    <CSXHash xmlns="4873beb7-5857-4685-be1f-d57550cc96cc" xsi:nil="true"/>
    <DirectSourceMarket xmlns="4873beb7-5857-4685-be1f-d57550cc96cc" xsi:nil="true"/>
    <PrimaryImageGen xmlns="4873beb7-5857-4685-be1f-d57550cc96cc">true</PrimaryImageGen>
    <PlannedPubDate xmlns="4873beb7-5857-4685-be1f-d57550cc96cc" xsi:nil="true"/>
    <CSXSubmissionMarket xmlns="4873beb7-5857-4685-be1f-d57550cc96cc" xsi:nil="true"/>
    <Downloads xmlns="4873beb7-5857-4685-be1f-d57550cc96cc">0</Downloads>
    <ArtSampleDocs xmlns="4873beb7-5857-4685-be1f-d57550cc96cc" xsi:nil="true"/>
    <TrustLevel xmlns="4873beb7-5857-4685-be1f-d57550cc96cc">1 Microsoft Managed Content</TrustLevel>
    <BlockPublish xmlns="4873beb7-5857-4685-be1f-d57550cc96cc">false</BlockPublish>
    <TPLaunchHelpLinkType xmlns="4873beb7-5857-4685-be1f-d57550cc96cc">Template</TPLaunchHelpLinkType>
    <LocalizationTagsTaxHTField0 xmlns="4873beb7-5857-4685-be1f-d57550cc96cc">
      <Terms xmlns="http://schemas.microsoft.com/office/infopath/2007/PartnerControls"/>
    </LocalizationTagsTaxHTField0>
    <BusinessGroup xmlns="4873beb7-5857-4685-be1f-d57550cc96cc" xsi:nil="true"/>
    <Providers xmlns="4873beb7-5857-4685-be1f-d57550cc96cc" xsi:nil="true"/>
    <TemplateTemplateType xmlns="4873beb7-5857-4685-be1f-d57550cc96cc">Word Document Template</TemplateTemplateType>
    <TimesCloned xmlns="4873beb7-5857-4685-be1f-d57550cc96cc" xsi:nil="true"/>
    <TPAppVersion xmlns="4873beb7-5857-4685-be1f-d57550cc96cc" xsi:nil="true"/>
    <VoteCount xmlns="4873beb7-5857-4685-be1f-d57550cc96cc" xsi:nil="true"/>
    <AverageRating xmlns="4873beb7-5857-4685-be1f-d57550cc96cc" xsi:nil="true"/>
    <FeatureTagsTaxHTField0 xmlns="4873beb7-5857-4685-be1f-d57550cc96cc">
      <Terms xmlns="http://schemas.microsoft.com/office/infopath/2007/PartnerControls"/>
    </FeatureTagsTaxHTField0>
    <Provider xmlns="4873beb7-5857-4685-be1f-d57550cc96cc" xsi:nil="true"/>
    <UACurrentWords xmlns="4873beb7-5857-4685-be1f-d57550cc96cc" xsi:nil="true"/>
    <AssetId xmlns="4873beb7-5857-4685-be1f-d57550cc96cc">TP103749966</AssetId>
    <TPClientViewer xmlns="4873beb7-5857-4685-be1f-d57550cc96cc" xsi:nil="true"/>
    <DSATActionTaken xmlns="4873beb7-5857-4685-be1f-d57550cc96cc" xsi:nil="true"/>
    <APEditor xmlns="4873beb7-5857-4685-be1f-d57550cc96cc">
      <UserInfo>
        <DisplayName/>
        <AccountId xsi:nil="true"/>
        <AccountType/>
      </UserInfo>
    </APEditor>
    <TPInstallLocation xmlns="4873beb7-5857-4685-be1f-d57550cc96cc" xsi:nil="true"/>
    <OOCacheId xmlns="4873beb7-5857-4685-be1f-d57550cc96cc" xsi:nil="true"/>
    <IsDeleted xmlns="4873beb7-5857-4685-be1f-d57550cc96cc">false</IsDeleted>
    <PublishTargets xmlns="4873beb7-5857-4685-be1f-d57550cc96cc">OfficeOnlineVNext</PublishTargets>
    <ApprovalLog xmlns="4873beb7-5857-4685-be1f-d57550cc96cc" xsi:nil="true"/>
    <BugNumber xmlns="4873beb7-5857-4685-be1f-d57550cc96cc" xsi:nil="true"/>
    <CrawlForDependencies xmlns="4873beb7-5857-4685-be1f-d57550cc96cc">false</CrawlForDependencies>
    <InternalTagsTaxHTField0 xmlns="4873beb7-5857-4685-be1f-d57550cc96cc">
      <Terms xmlns="http://schemas.microsoft.com/office/infopath/2007/PartnerControls"/>
    </InternalTagsTaxHTField0>
    <LastHandOff xmlns="4873beb7-5857-4685-be1f-d57550cc96cc" xsi:nil="true"/>
    <Milestone xmlns="4873beb7-5857-4685-be1f-d57550cc96cc" xsi:nil="true"/>
    <OriginalRelease xmlns="4873beb7-5857-4685-be1f-d57550cc96cc">15</OriginalRelease>
    <RecommendationsModifier xmlns="4873beb7-5857-4685-be1f-d57550cc96cc" xsi:nil="true"/>
    <ScenarioTagsTaxHTField0 xmlns="4873beb7-5857-4685-be1f-d57550cc96cc">
      <Terms xmlns="http://schemas.microsoft.com/office/infopath/2007/PartnerControls"/>
    </ScenarioTagsTaxHTField0>
    <UANotes xmlns="4873beb7-5857-4685-be1f-d57550cc96cc" xsi:nil="true"/>
  </documentManagement>
</p:properties>
</file>

<file path=customXml/item3.xml><?xml version="1.0" encoding="utf-8"?>
<?mso-contentType ?>
<FormTemplates xmlns="http://schemas.microsoft.com/sharepoint/v3/contenttype/forms">
  <Display>DocumentLibraryForm</Display>
  <Edit>AssetEditForm</Edit>
  <New>DocumentLibraryForm</New>
</FormTemplates>
</file>

<file path=customXml/item4.xml><?xml version="1.0" encoding="utf-8"?>
<b:Sources xmlns:b="http://schemas.openxmlformats.org/officeDocument/2006/bibliography" SelectedStyle="\APA.XSL" StyleName="APA">
  <b:Source>
    <b:Tag>RSt01</b:Tag>
    <b:SourceType>Book</b:SourceType>
    <b:Guid>{7AD77338-905D-470F-B1E0-188E68B0C2E5}</b:Guid>
    <b:Author>
      <b:Author>
        <b:NameList>
          <b:Person>
            <b:Last>Stair</b:Last>
            <b:First>R</b:First>
          </b:Person>
          <b:Person>
            <b:Last>Reynolds</b:Last>
            <b:First>G.</b:First>
          </b:Person>
        </b:NameList>
      </b:Author>
    </b:Author>
    <b:Title>Principles of Information Systems</b:Title>
    <b:Year>2001</b:Year>
    <b:City>Boston</b:City>
    <b:Publisher>Course Technology</b:Publisher>
    <b:RefOrder>1</b:RefOrder>
  </b:Source>
  <b:Source>
    <b:Tag>Kro09</b:Tag>
    <b:SourceType>Book</b:SourceType>
    <b:Guid>{BECAF388-DFB8-4ECD-A8A7-68C152322225}</b:Guid>
    <b:Author>
      <b:Author>
        <b:NameList>
          <b:Person>
            <b:Last>Kroenke</b:Last>
            <b:First>D.</b:First>
          </b:Person>
          <b:Person>
            <b:Last>Auer</b:Last>
            <b:First>D.</b:First>
          </b:Person>
        </b:NameList>
      </b:Author>
    </b:Author>
    <b:Year>2009</b:Year>
    <b:Title>Database Concepts</b:Title>
    <b:City>New Jersey</b:City>
    <b:Publisher>Prentice Hall</b:Publisher>
    <b:RefOrder>2</b:RefOrder>
  </b:Source>
</b:Sources>
</file>

<file path=customXml/itemProps1.xml><?xml version="1.0" encoding="utf-8"?>
<ds:datastoreItem xmlns:ds="http://schemas.openxmlformats.org/officeDocument/2006/customXml" ds:itemID="{88FF2527-3592-4DBF-9FD9-FEA06E5BF9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73beb7-5857-4685-be1f-d57550cc96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3AE4ADC-D632-40A7-A0C1-0481BB069C4F}">
  <ds:schemaRefs>
    <ds:schemaRef ds:uri="http://schemas.microsoft.com/office/2006/metadata/properties"/>
    <ds:schemaRef ds:uri="http://schemas.microsoft.com/office/2006/documentManagement/types"/>
    <ds:schemaRef ds:uri="4873beb7-5857-4685-be1f-d57550cc96cc"/>
    <ds:schemaRef ds:uri="http://schemas.openxmlformats.org/package/2006/metadata/core-properties"/>
    <ds:schemaRef ds:uri="http://purl.org/dc/elements/1.1/"/>
    <ds:schemaRef ds:uri="http://purl.org/dc/dcmitype/"/>
    <ds:schemaRef ds:uri="http://purl.org/dc/terms/"/>
    <ds:schemaRef ds:uri="http://schemas.microsoft.com/office/infopath/2007/PartnerControls"/>
    <ds:schemaRef ds:uri="http://www.w3.org/XML/1998/namespace"/>
  </ds:schemaRefs>
</ds:datastoreItem>
</file>

<file path=customXml/itemProps3.xml><?xml version="1.0" encoding="utf-8"?>
<ds:datastoreItem xmlns:ds="http://schemas.openxmlformats.org/officeDocument/2006/customXml" ds:itemID="{FF740C13-C6A2-43D3-86C5-4CBB969C2CB1}">
  <ds:schemaRefs>
    <ds:schemaRef ds:uri="http://schemas.microsoft.com/sharepoint/v3/contenttype/forms"/>
  </ds:schemaRefs>
</ds:datastoreItem>
</file>

<file path=customXml/itemProps4.xml><?xml version="1.0" encoding="utf-8"?>
<ds:datastoreItem xmlns:ds="http://schemas.openxmlformats.org/officeDocument/2006/customXml" ds:itemID="{6779730C-FDA8-4D08-BEC4-D7906E3D97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tf03749967</Template>
  <TotalTime>0</TotalTime>
  <Pages>3</Pages>
  <Words>976</Words>
  <Characters>5569</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Seth Oveson</dc:creator>
  <cp:keywords/>
  <dc:description/>
  <cp:lastModifiedBy>Seth Oveson</cp:lastModifiedBy>
  <cp:revision>3</cp:revision>
  <dcterms:created xsi:type="dcterms:W3CDTF">2021-02-18T15:51:00Z</dcterms:created>
  <dcterms:modified xsi:type="dcterms:W3CDTF">2021-02-18T17:54:00Z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0x0101006EDDDB5EE6D98C44930B742096920B300400F5B6D36B3EF94B4E9A635CDF2A18F5B8</vt:lpwstr>
  </property>
  <property fmtid="{D5CDD505-2E9C-101B-9397-08002B2CF9AE}" pid="3" name="InternalTags">
    <vt:lpwstr/>
  </property>
  <property fmtid="{D5CDD505-2E9C-101B-9397-08002B2CF9AE}" pid="4" name="FeatureTags">
    <vt:lpwstr/>
  </property>
  <property fmtid="{D5CDD505-2E9C-101B-9397-08002B2CF9AE}" pid="5" name="LocalizationTags">
    <vt:lpwstr/>
  </property>
  <property fmtid="{D5CDD505-2E9C-101B-9397-08002B2CF9AE}" pid="6" name="ScenarioTags">
    <vt:lpwstr/>
  </property>
  <property fmtid="{D5CDD505-2E9C-101B-9397-08002B2CF9AE}" pid="7" name="CampaignTags">
    <vt:lpwstr/>
  </property>
</Properties>
</file>