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FDE" w:rsidRPr="0025688C" w:rsidRDefault="00410FDE" w:rsidP="008A0BDF">
      <w:pPr>
        <w:autoSpaceDE w:val="0"/>
        <w:autoSpaceDN w:val="0"/>
        <w:adjustRightInd w:val="0"/>
        <w:jc w:val="both"/>
        <w:rPr>
          <w:b/>
          <w:smallCaps/>
        </w:rPr>
      </w:pPr>
      <w:r w:rsidRPr="0025688C">
        <w:rPr>
          <w:b/>
          <w:smallCaps/>
          <w:color w:val="FF0000"/>
        </w:rPr>
        <w:t>Templates</w:t>
      </w:r>
      <w:r w:rsidR="00974584">
        <w:rPr>
          <w:b/>
          <w:smallCaps/>
          <w:color w:val="FF0000"/>
        </w:rPr>
        <w:t xml:space="preserve"> for the tables included in this pension footnote</w:t>
      </w:r>
      <w:r w:rsidR="00974584">
        <w:rPr>
          <w:b/>
          <w:smallCaps/>
          <w:color w:val="FF0000"/>
        </w:rPr>
        <w:t>—</w:t>
      </w:r>
      <w:r w:rsidR="00974584">
        <w:rPr>
          <w:b/>
          <w:smallCaps/>
          <w:color w:val="FF0000"/>
        </w:rPr>
        <w:t>as well as tables that may be included in the MD&amp;A and other footnotes to the Financial Statements—</w:t>
      </w:r>
      <w:r w:rsidRPr="0025688C">
        <w:rPr>
          <w:b/>
          <w:smallCaps/>
          <w:color w:val="FF0000"/>
        </w:rPr>
        <w:t>are contained in the excel file titled “</w:t>
      </w:r>
      <w:r w:rsidR="00974584" w:rsidRPr="00974584">
        <w:rPr>
          <w:b/>
          <w:smallCaps/>
          <w:color w:val="FF0000"/>
        </w:rPr>
        <w:t>2017 Tables for MD&amp;A and Footnotes</w:t>
      </w:r>
      <w:r w:rsidRPr="0025688C">
        <w:rPr>
          <w:b/>
          <w:smallCaps/>
          <w:color w:val="FF0000"/>
        </w:rPr>
        <w:t>” with one worksheet (tab) for each table.  Please read the “Instructions” page</w:t>
      </w:r>
      <w:r w:rsidR="00974584">
        <w:rPr>
          <w:b/>
          <w:smallCaps/>
          <w:color w:val="FF0000"/>
        </w:rPr>
        <w:t>, located</w:t>
      </w:r>
      <w:r w:rsidRPr="0025688C">
        <w:rPr>
          <w:b/>
          <w:smallCaps/>
          <w:color w:val="FF0000"/>
        </w:rPr>
        <w:t xml:space="preserve"> on the first tab of th</w:t>
      </w:r>
      <w:r w:rsidR="00974584">
        <w:rPr>
          <w:b/>
          <w:smallCaps/>
          <w:color w:val="FF0000"/>
        </w:rPr>
        <w:t>at</w:t>
      </w:r>
      <w:r w:rsidRPr="0025688C">
        <w:rPr>
          <w:b/>
          <w:smallCaps/>
          <w:color w:val="FF0000"/>
        </w:rPr>
        <w:t xml:space="preserve"> file</w:t>
      </w:r>
      <w:r w:rsidR="00974584">
        <w:rPr>
          <w:b/>
          <w:smallCaps/>
          <w:color w:val="FF0000"/>
        </w:rPr>
        <w:t>, to learn how to best incorporate the tables into a financial report</w:t>
      </w:r>
      <w:r w:rsidRPr="0025688C">
        <w:rPr>
          <w:b/>
          <w:smallCaps/>
          <w:color w:val="FF0000"/>
        </w:rPr>
        <w:t>.</w:t>
      </w:r>
    </w:p>
    <w:p w:rsidR="00410FDE" w:rsidRDefault="00410FDE" w:rsidP="00AC41CE">
      <w:pPr>
        <w:tabs>
          <w:tab w:val="left" w:pos="-1080"/>
          <w:tab w:val="left" w:pos="-720"/>
          <w:tab w:val="left" w:pos="720"/>
          <w:tab w:val="left" w:pos="1080"/>
          <w:tab w:val="left" w:pos="7200"/>
          <w:tab w:val="left" w:pos="7920"/>
        </w:tabs>
        <w:ind w:left="-360"/>
      </w:pPr>
    </w:p>
    <w:p w:rsidR="00410FDE" w:rsidRDefault="00410FDE" w:rsidP="00AC41CE">
      <w:pPr>
        <w:tabs>
          <w:tab w:val="left" w:pos="-1080"/>
          <w:tab w:val="left" w:pos="-720"/>
          <w:tab w:val="left" w:pos="720"/>
          <w:tab w:val="left" w:pos="1080"/>
          <w:tab w:val="left" w:pos="7200"/>
          <w:tab w:val="left" w:pos="7920"/>
        </w:tabs>
        <w:ind w:left="-360"/>
      </w:pPr>
    </w:p>
    <w:p w:rsidR="00E200C2" w:rsidRPr="00087185" w:rsidRDefault="00E200C2" w:rsidP="00087185">
      <w:pPr>
        <w:tabs>
          <w:tab w:val="left" w:pos="-1080"/>
          <w:tab w:val="left" w:pos="-720"/>
          <w:tab w:val="left" w:pos="720"/>
          <w:tab w:val="left" w:pos="1080"/>
          <w:tab w:val="left" w:pos="7200"/>
          <w:tab w:val="left" w:pos="7920"/>
        </w:tabs>
        <w:rPr>
          <w:b/>
          <w:u w:val="single"/>
        </w:rPr>
      </w:pPr>
      <w:r w:rsidRPr="00087185">
        <w:rPr>
          <w:b/>
        </w:rPr>
        <w:t>NOTE 1.</w:t>
      </w:r>
      <w:r w:rsidRPr="00087185">
        <w:rPr>
          <w:b/>
        </w:rPr>
        <w:tab/>
      </w:r>
      <w:r w:rsidRPr="00087185">
        <w:rPr>
          <w:b/>
          <w:u w:val="single"/>
        </w:rPr>
        <w:t>SUMMARY OF SIGNIFICANT ACCOUNTING POLICIES</w:t>
      </w:r>
    </w:p>
    <w:p w:rsidR="00E200C2" w:rsidRDefault="00E200C2" w:rsidP="00AC41CE">
      <w:pPr>
        <w:ind w:left="720"/>
        <w:jc w:val="both"/>
        <w:rPr>
          <w:u w:val="single"/>
        </w:rPr>
      </w:pPr>
    </w:p>
    <w:p w:rsidR="00410FDE" w:rsidRDefault="00410FDE" w:rsidP="00087185">
      <w:pPr>
        <w:autoSpaceDE w:val="0"/>
        <w:autoSpaceDN w:val="0"/>
        <w:adjustRightInd w:val="0"/>
        <w:jc w:val="both"/>
      </w:pPr>
      <w:r w:rsidRPr="0053076A">
        <w:rPr>
          <w:b/>
        </w:rPr>
        <w:t>Pensions –</w:t>
      </w:r>
      <w:r>
        <w:t xml:space="preserve"> For purposes of measuring the net pension liability, deferred outflows of resources and deferred inflows of resources related to pensions, and pension expense, information about the fiduciary net position of the Utah Retirement Systems (Systems) Pension Plan and additions to/deductions from the Systems’ fiduciary net position are now determined on the same basis as they are reported by the Systems. For this purpose, benefit payments (including refunds of employee contributions) are recognized when due and payable in accordance with the benefit terms. Investments are reported at fair value.</w:t>
      </w:r>
    </w:p>
    <w:p w:rsidR="00410FDE" w:rsidRDefault="00410FDE" w:rsidP="00087185">
      <w:pPr>
        <w:autoSpaceDE w:val="0"/>
        <w:autoSpaceDN w:val="0"/>
        <w:adjustRightInd w:val="0"/>
        <w:jc w:val="both"/>
      </w:pPr>
    </w:p>
    <w:p w:rsidR="00410FDE" w:rsidRDefault="00410FDE" w:rsidP="00087185">
      <w:pPr>
        <w:autoSpaceDE w:val="0"/>
        <w:autoSpaceDN w:val="0"/>
        <w:adjustRightInd w:val="0"/>
        <w:jc w:val="center"/>
      </w:pPr>
      <w:r>
        <w:t>******</w:t>
      </w:r>
    </w:p>
    <w:p w:rsidR="00410FDE" w:rsidRDefault="00410FDE" w:rsidP="00087185">
      <w:pPr>
        <w:autoSpaceDE w:val="0"/>
        <w:autoSpaceDN w:val="0"/>
        <w:adjustRightInd w:val="0"/>
        <w:jc w:val="both"/>
      </w:pPr>
    </w:p>
    <w:p w:rsidR="00410FDE" w:rsidRPr="00AC7898" w:rsidRDefault="00410FDE" w:rsidP="00087185">
      <w:pPr>
        <w:autoSpaceDE w:val="0"/>
        <w:autoSpaceDN w:val="0"/>
        <w:adjustRightInd w:val="0"/>
        <w:jc w:val="both"/>
      </w:pPr>
      <w:r w:rsidRPr="0053076A">
        <w:rPr>
          <w:b/>
        </w:rPr>
        <w:t xml:space="preserve">Deferred </w:t>
      </w:r>
      <w:r>
        <w:rPr>
          <w:b/>
        </w:rPr>
        <w:t>O</w:t>
      </w:r>
      <w:r w:rsidRPr="0053076A">
        <w:rPr>
          <w:b/>
        </w:rPr>
        <w:t>utflows/</w:t>
      </w:r>
      <w:r>
        <w:rPr>
          <w:b/>
        </w:rPr>
        <w:t>I</w:t>
      </w:r>
      <w:r w:rsidRPr="0053076A">
        <w:rPr>
          <w:b/>
        </w:rPr>
        <w:t xml:space="preserve">nflows of </w:t>
      </w:r>
      <w:r>
        <w:rPr>
          <w:b/>
        </w:rPr>
        <w:t>R</w:t>
      </w:r>
      <w:r w:rsidRPr="0053076A">
        <w:rPr>
          <w:b/>
        </w:rPr>
        <w:t>esources –</w:t>
      </w:r>
      <w:r>
        <w:t xml:space="preserve"> In addition to assets, financial statements will sometimes report a separate section for deferred outflows of resources. This separate financial statement element, </w:t>
      </w:r>
      <w:r w:rsidRPr="0053076A">
        <w:rPr>
          <w:i/>
        </w:rPr>
        <w:t>deferred outflows of resources</w:t>
      </w:r>
      <w:r>
        <w:t xml:space="preserve">, represents a consumption of net position that applies to a future period(s) and will not be recognized as an outflow of resources (expense/expenditure) until then. </w:t>
      </w:r>
      <w:r w:rsidRPr="00AC7898">
        <w:t xml:space="preserve">In addition to liabilities, the financial statements will sometimes report a separate section for deferred inflows of resources. This separate financial statement element, </w:t>
      </w:r>
      <w:r w:rsidRPr="00AC7898">
        <w:rPr>
          <w:i/>
        </w:rPr>
        <w:t>deferred inflows of resources</w:t>
      </w:r>
      <w:r w:rsidRPr="00AC7898">
        <w:t xml:space="preserve">, represents an acquisition of net position that applies to a future period(s) and will not be recognized as an inflow of resources (revenue) until that time. </w:t>
      </w:r>
    </w:p>
    <w:p w:rsidR="00410FDE" w:rsidRPr="00AC7898" w:rsidRDefault="00410FDE" w:rsidP="00410FDE">
      <w:pPr>
        <w:autoSpaceDE w:val="0"/>
        <w:autoSpaceDN w:val="0"/>
        <w:adjustRightInd w:val="0"/>
        <w:jc w:val="both"/>
        <w:rPr>
          <w:u w:val="single"/>
        </w:rPr>
      </w:pPr>
    </w:p>
    <w:p w:rsidR="00410FDE" w:rsidRPr="00AC7898" w:rsidRDefault="00410FDE" w:rsidP="00087185">
      <w:pPr>
        <w:autoSpaceDE w:val="0"/>
        <w:autoSpaceDN w:val="0"/>
        <w:adjustRightInd w:val="0"/>
        <w:jc w:val="both"/>
        <w:rPr>
          <w:b/>
        </w:rPr>
      </w:pPr>
      <w:r w:rsidRPr="00AC7898">
        <w:rPr>
          <w:b/>
        </w:rPr>
        <w:t xml:space="preserve">NOTE </w:t>
      </w:r>
      <w:r w:rsidRPr="00AC7898">
        <w:rPr>
          <w:b/>
          <w:highlight w:val="yellow"/>
        </w:rPr>
        <w:t>#</w:t>
      </w:r>
      <w:r w:rsidRPr="00AC7898">
        <w:rPr>
          <w:b/>
        </w:rPr>
        <w:t xml:space="preserve">:  </w:t>
      </w:r>
      <w:r>
        <w:rPr>
          <w:b/>
        </w:rPr>
        <w:t>PENSION</w:t>
      </w:r>
      <w:r w:rsidRPr="00AC7898">
        <w:rPr>
          <w:b/>
        </w:rPr>
        <w:t xml:space="preserve"> </w:t>
      </w:r>
      <w:r w:rsidR="00AB43DD">
        <w:rPr>
          <w:b/>
        </w:rPr>
        <w:t xml:space="preserve">AND RETIREMENT </w:t>
      </w:r>
      <w:r w:rsidRPr="00AC7898">
        <w:rPr>
          <w:b/>
        </w:rPr>
        <w:t>PLANS</w:t>
      </w:r>
    </w:p>
    <w:p w:rsidR="00410FDE" w:rsidRPr="00AC7898" w:rsidRDefault="00410FDE" w:rsidP="00410FDE">
      <w:pPr>
        <w:autoSpaceDE w:val="0"/>
        <w:autoSpaceDN w:val="0"/>
        <w:adjustRightInd w:val="0"/>
        <w:jc w:val="both"/>
      </w:pPr>
    </w:p>
    <w:p w:rsidR="00410FDE" w:rsidRPr="00AC7898" w:rsidRDefault="00410FDE" w:rsidP="00087185">
      <w:pPr>
        <w:autoSpaceDE w:val="0"/>
        <w:autoSpaceDN w:val="0"/>
        <w:adjustRightInd w:val="0"/>
        <w:jc w:val="both"/>
      </w:pPr>
      <w:r w:rsidRPr="00AC7898">
        <w:rPr>
          <w:b/>
        </w:rPr>
        <w:t>Description of plans –</w:t>
      </w:r>
      <w:r w:rsidRPr="00AC7898">
        <w:t xml:space="preserve"> Eligible</w:t>
      </w:r>
      <w:r>
        <w:t xml:space="preserve"> employees of </w:t>
      </w:r>
      <w:r w:rsidRPr="00076AE5">
        <w:rPr>
          <w:highlight w:val="yellow"/>
        </w:rPr>
        <w:t>[the Entity]</w:t>
      </w:r>
      <w:r>
        <w:t xml:space="preserve"> </w:t>
      </w:r>
      <w:r w:rsidRPr="00AC7898">
        <w:t xml:space="preserve">are provided with </w:t>
      </w:r>
      <w:r>
        <w:t xml:space="preserve">pensions through the </w:t>
      </w:r>
      <w:r w:rsidRPr="00AC7898">
        <w:t>Utah Retirement Systems (</w:t>
      </w:r>
      <w:r>
        <w:t>Systems</w:t>
      </w:r>
      <w:r w:rsidRPr="00AC7898">
        <w:t>)</w:t>
      </w:r>
      <w:r>
        <w:t xml:space="preserve">.  The Systems comprise several pension trust funds, the following in which employees at </w:t>
      </w:r>
      <w:r w:rsidR="00C359ED" w:rsidRPr="00C359ED">
        <w:rPr>
          <w:highlight w:val="yellow"/>
        </w:rPr>
        <w:t>[the Entity]</w:t>
      </w:r>
      <w:r>
        <w:t xml:space="preserve"> participate</w:t>
      </w:r>
      <w:r w:rsidRPr="00AC7898">
        <w:t>:</w:t>
      </w:r>
    </w:p>
    <w:p w:rsidR="00410FDE" w:rsidRDefault="00410FDE" w:rsidP="00410FDE">
      <w:pPr>
        <w:autoSpaceDE w:val="0"/>
        <w:autoSpaceDN w:val="0"/>
        <w:adjustRightInd w:val="0"/>
        <w:ind w:left="259"/>
        <w:jc w:val="both"/>
        <w:rPr>
          <w:color w:val="000000"/>
        </w:rPr>
      </w:pPr>
    </w:p>
    <w:p w:rsidR="00410FDE" w:rsidRPr="00D60294" w:rsidRDefault="00410FDE" w:rsidP="00087185">
      <w:pPr>
        <w:autoSpaceDE w:val="0"/>
        <w:autoSpaceDN w:val="0"/>
        <w:adjustRightInd w:val="0"/>
        <w:jc w:val="both"/>
        <w:rPr>
          <w:b/>
          <w:color w:val="FF0000"/>
        </w:rPr>
      </w:pPr>
      <w:r>
        <w:rPr>
          <w:b/>
          <w:color w:val="FF0000"/>
          <w:highlight w:val="yellow"/>
        </w:rPr>
        <w:t>(</w:t>
      </w:r>
      <w:r w:rsidRPr="00D60294">
        <w:rPr>
          <w:b/>
          <w:color w:val="FF0000"/>
          <w:highlight w:val="yellow"/>
        </w:rPr>
        <w:t xml:space="preserve">Note:  The </w:t>
      </w:r>
      <w:r>
        <w:rPr>
          <w:b/>
          <w:color w:val="FF0000"/>
          <w:highlight w:val="yellow"/>
        </w:rPr>
        <w:t xml:space="preserve">Entity should </w:t>
      </w:r>
      <w:r w:rsidRPr="00D60294">
        <w:rPr>
          <w:b/>
          <w:color w:val="FF0000"/>
          <w:highlight w:val="yellow"/>
        </w:rPr>
        <w:t>list here and in the tables below only</w:t>
      </w:r>
      <w:r>
        <w:rPr>
          <w:b/>
          <w:color w:val="FF0000"/>
          <w:highlight w:val="yellow"/>
        </w:rPr>
        <w:t xml:space="preserve"> those</w:t>
      </w:r>
      <w:r w:rsidRPr="00D60294">
        <w:rPr>
          <w:b/>
          <w:color w:val="FF0000"/>
          <w:highlight w:val="yellow"/>
        </w:rPr>
        <w:t xml:space="preserve"> plans applicable to the </w:t>
      </w:r>
      <w:r>
        <w:rPr>
          <w:b/>
          <w:color w:val="FF0000"/>
          <w:highlight w:val="yellow"/>
        </w:rPr>
        <w:t>Entity</w:t>
      </w:r>
      <w:r w:rsidRPr="00D60294">
        <w:rPr>
          <w:b/>
          <w:color w:val="FF0000"/>
          <w:highlight w:val="yellow"/>
        </w:rPr>
        <w:t>)</w:t>
      </w:r>
    </w:p>
    <w:p w:rsidR="00410FDE" w:rsidRDefault="00410FDE" w:rsidP="00087185">
      <w:pPr>
        <w:autoSpaceDE w:val="0"/>
        <w:autoSpaceDN w:val="0"/>
        <w:adjustRightInd w:val="0"/>
        <w:jc w:val="both"/>
        <w:rPr>
          <w:color w:val="000000"/>
        </w:rPr>
      </w:pPr>
    </w:p>
    <w:p w:rsidR="00410FDE" w:rsidRDefault="00410FDE" w:rsidP="00087185">
      <w:pPr>
        <w:autoSpaceDE w:val="0"/>
        <w:autoSpaceDN w:val="0"/>
        <w:adjustRightInd w:val="0"/>
        <w:jc w:val="both"/>
      </w:pPr>
      <w:r w:rsidRPr="008D3520">
        <w:rPr>
          <w:b/>
          <w:u w:val="single"/>
        </w:rPr>
        <w:t>Defined Benefit Pension Plans</w:t>
      </w:r>
      <w:r>
        <w:t xml:space="preserve"> (cost-sharing, multiple-employer plans): </w:t>
      </w:r>
    </w:p>
    <w:p w:rsidR="00410FDE" w:rsidRDefault="00410FDE" w:rsidP="00087185">
      <w:pPr>
        <w:autoSpaceDE w:val="0"/>
        <w:autoSpaceDN w:val="0"/>
        <w:adjustRightInd w:val="0"/>
        <w:jc w:val="both"/>
      </w:pPr>
    </w:p>
    <w:p w:rsidR="00410FDE" w:rsidRPr="009B286B" w:rsidRDefault="00410FDE" w:rsidP="000902C1">
      <w:pPr>
        <w:tabs>
          <w:tab w:val="left" w:pos="360"/>
        </w:tabs>
        <w:ind w:left="180"/>
        <w:rPr>
          <w:highlight w:val="yellow"/>
        </w:rPr>
      </w:pPr>
      <w:r w:rsidRPr="009B286B">
        <w:rPr>
          <w:highlight w:val="yellow"/>
        </w:rPr>
        <w:t>•</w:t>
      </w:r>
      <w:r w:rsidRPr="009B286B">
        <w:rPr>
          <w:highlight w:val="yellow"/>
        </w:rPr>
        <w:tab/>
        <w:t xml:space="preserve">Public Employees Noncontributory Retirement System (Noncontributory System) </w:t>
      </w:r>
    </w:p>
    <w:p w:rsidR="00410FDE" w:rsidRPr="009B286B" w:rsidRDefault="00410FDE" w:rsidP="000902C1">
      <w:pPr>
        <w:tabs>
          <w:tab w:val="left" w:pos="360"/>
        </w:tabs>
        <w:ind w:left="180"/>
        <w:rPr>
          <w:highlight w:val="yellow"/>
        </w:rPr>
      </w:pPr>
      <w:r w:rsidRPr="009B286B">
        <w:rPr>
          <w:highlight w:val="yellow"/>
        </w:rPr>
        <w:t>•</w:t>
      </w:r>
      <w:r>
        <w:rPr>
          <w:highlight w:val="yellow"/>
        </w:rPr>
        <w:tab/>
      </w:r>
      <w:r w:rsidRPr="009B286B">
        <w:rPr>
          <w:highlight w:val="yellow"/>
        </w:rPr>
        <w:t xml:space="preserve">Public Employees Contributory Retirement System (Contributory System) </w:t>
      </w:r>
    </w:p>
    <w:p w:rsidR="00410FDE" w:rsidRDefault="00410FDE" w:rsidP="000902C1">
      <w:pPr>
        <w:tabs>
          <w:tab w:val="left" w:pos="360"/>
        </w:tabs>
        <w:ind w:left="180"/>
        <w:rPr>
          <w:highlight w:val="yellow"/>
        </w:rPr>
      </w:pPr>
      <w:r w:rsidRPr="009B286B">
        <w:rPr>
          <w:highlight w:val="yellow"/>
        </w:rPr>
        <w:t>•</w:t>
      </w:r>
      <w:r>
        <w:rPr>
          <w:highlight w:val="yellow"/>
        </w:rPr>
        <w:tab/>
      </w:r>
      <w:r w:rsidRPr="009B286B">
        <w:rPr>
          <w:highlight w:val="yellow"/>
        </w:rPr>
        <w:t xml:space="preserve">Tier 2 Public Employees Contributory Retirement System (Tier 2 </w:t>
      </w:r>
      <w:r w:rsidR="000902C1">
        <w:rPr>
          <w:highlight w:val="yellow"/>
        </w:rPr>
        <w:t xml:space="preserve">Public Employees </w:t>
      </w:r>
      <w:r w:rsidRPr="009B286B">
        <w:rPr>
          <w:highlight w:val="yellow"/>
        </w:rPr>
        <w:t>System)</w:t>
      </w:r>
    </w:p>
    <w:p w:rsidR="00410FDE" w:rsidRDefault="00410FDE" w:rsidP="000902C1">
      <w:pPr>
        <w:tabs>
          <w:tab w:val="left" w:pos="360"/>
        </w:tabs>
        <w:ind w:left="180"/>
        <w:rPr>
          <w:highlight w:val="yellow"/>
        </w:rPr>
      </w:pPr>
      <w:r w:rsidRPr="009B286B">
        <w:rPr>
          <w:highlight w:val="yellow"/>
        </w:rPr>
        <w:t>•</w:t>
      </w:r>
      <w:r>
        <w:rPr>
          <w:highlight w:val="yellow"/>
        </w:rPr>
        <w:tab/>
        <w:t>Public Safety Retirement System (Public Safety System)</w:t>
      </w:r>
    </w:p>
    <w:p w:rsidR="00410FDE" w:rsidRPr="009B286B" w:rsidRDefault="00410FDE" w:rsidP="000902C1">
      <w:pPr>
        <w:tabs>
          <w:tab w:val="left" w:pos="360"/>
        </w:tabs>
        <w:ind w:left="360" w:hanging="180"/>
        <w:rPr>
          <w:highlight w:val="yellow"/>
        </w:rPr>
      </w:pPr>
      <w:r w:rsidRPr="009B286B">
        <w:rPr>
          <w:highlight w:val="yellow"/>
        </w:rPr>
        <w:t>•</w:t>
      </w:r>
      <w:r>
        <w:rPr>
          <w:highlight w:val="yellow"/>
        </w:rPr>
        <w:tab/>
        <w:t>Tier 2 Public Safety and Firefighter Contributory Retirement Systems (Tier 2 Public Safety Firefighters System)</w:t>
      </w:r>
      <w:r w:rsidRPr="009B286B">
        <w:rPr>
          <w:highlight w:val="yellow"/>
        </w:rPr>
        <w:t xml:space="preserve"> </w:t>
      </w:r>
    </w:p>
    <w:p w:rsidR="00410FDE" w:rsidRDefault="00410FDE" w:rsidP="00087185">
      <w:pPr>
        <w:autoSpaceDE w:val="0"/>
        <w:autoSpaceDN w:val="0"/>
        <w:adjustRightInd w:val="0"/>
        <w:jc w:val="both"/>
      </w:pPr>
    </w:p>
    <w:p w:rsidR="00E200C2" w:rsidRPr="005C637B" w:rsidRDefault="00E200C2" w:rsidP="00087185">
      <w:pPr>
        <w:autoSpaceDE w:val="0"/>
        <w:autoSpaceDN w:val="0"/>
        <w:adjustRightInd w:val="0"/>
        <w:jc w:val="both"/>
      </w:pPr>
      <w:r w:rsidRPr="005C637B">
        <w:lastRenderedPageBreak/>
        <w:t>The Tier 2 Public Employees System became effective July 1, 2011. All eligible employees beginning on or after July 1, 2011, who</w:t>
      </w:r>
      <w:r>
        <w:t xml:space="preserve"> </w:t>
      </w:r>
      <w:r w:rsidRPr="005C637B">
        <w:t xml:space="preserve">have no previous service credit with any of the Systems, are members of the Tier 2 </w:t>
      </w:r>
      <w:r w:rsidR="00EC26FD">
        <w:t xml:space="preserve">Public Employees </w:t>
      </w:r>
      <w:r w:rsidRPr="005C637B">
        <w:t>System.</w:t>
      </w:r>
    </w:p>
    <w:p w:rsidR="00E200C2" w:rsidRDefault="00E200C2" w:rsidP="00EC26FD">
      <w:pPr>
        <w:autoSpaceDE w:val="0"/>
        <w:autoSpaceDN w:val="0"/>
        <w:adjustRightInd w:val="0"/>
        <w:jc w:val="both"/>
      </w:pPr>
    </w:p>
    <w:p w:rsidR="00E200C2" w:rsidRPr="00D3622B" w:rsidRDefault="00E200C2" w:rsidP="00087185">
      <w:pPr>
        <w:autoSpaceDE w:val="0"/>
        <w:autoSpaceDN w:val="0"/>
        <w:adjustRightInd w:val="0"/>
        <w:jc w:val="both"/>
        <w:rPr>
          <w:spacing w:val="-2"/>
        </w:rPr>
      </w:pPr>
      <w:r w:rsidRPr="00D3622B">
        <w:rPr>
          <w:spacing w:val="-2"/>
        </w:rPr>
        <w:t xml:space="preserve">The Systems are established and governed by the respective sections of Title 49 of the </w:t>
      </w:r>
      <w:r w:rsidRPr="00D3622B">
        <w:rPr>
          <w:i/>
          <w:spacing w:val="-2"/>
        </w:rPr>
        <w:t xml:space="preserve">Utah </w:t>
      </w:r>
      <w:r w:rsidRPr="00087185">
        <w:t>Code</w:t>
      </w:r>
      <w:r w:rsidRPr="00D3622B">
        <w:rPr>
          <w:spacing w:val="-2"/>
        </w:rPr>
        <w:t>. The Systems</w:t>
      </w:r>
      <w:r w:rsidR="00B34536" w:rsidRPr="00D3622B">
        <w:rPr>
          <w:spacing w:val="-2"/>
        </w:rPr>
        <w:t>’</w:t>
      </w:r>
      <w:r w:rsidRPr="00D3622B">
        <w:rPr>
          <w:spacing w:val="-2"/>
        </w:rPr>
        <w:t xml:space="preserve"> defined benefit plans are amended statutorily by the </w:t>
      </w:r>
      <w:r w:rsidR="00087185">
        <w:rPr>
          <w:spacing w:val="-2"/>
        </w:rPr>
        <w:t xml:space="preserve">Utah </w:t>
      </w:r>
      <w:r w:rsidRPr="00D3622B">
        <w:rPr>
          <w:spacing w:val="-2"/>
        </w:rPr>
        <w:t xml:space="preserve">Legislature. The Utah State Retirement Office Act in Title 49 provides for the administration of the Systems under the direction of the </w:t>
      </w:r>
      <w:r w:rsidR="008459D8">
        <w:rPr>
          <w:spacing w:val="-2"/>
        </w:rPr>
        <w:t xml:space="preserve">Utah Retirement </w:t>
      </w:r>
      <w:r w:rsidR="00087185">
        <w:rPr>
          <w:spacing w:val="-2"/>
        </w:rPr>
        <w:t xml:space="preserve">Systems </w:t>
      </w:r>
      <w:r w:rsidRPr="00D3622B">
        <w:rPr>
          <w:spacing w:val="-2"/>
        </w:rPr>
        <w:t>Board</w:t>
      </w:r>
      <w:r w:rsidR="008459D8">
        <w:rPr>
          <w:spacing w:val="-2"/>
        </w:rPr>
        <w:t xml:space="preserve"> (URS Board)</w:t>
      </w:r>
      <w:r w:rsidRPr="00D3622B">
        <w:rPr>
          <w:spacing w:val="-2"/>
        </w:rPr>
        <w:t>, whose members</w:t>
      </w:r>
      <w:r w:rsidR="00EC26FD" w:rsidRPr="00D3622B">
        <w:rPr>
          <w:spacing w:val="-2"/>
        </w:rPr>
        <w:t xml:space="preserve"> </w:t>
      </w:r>
      <w:r w:rsidRPr="00D3622B">
        <w:rPr>
          <w:spacing w:val="-2"/>
        </w:rPr>
        <w:t xml:space="preserve">are appointed by the </w:t>
      </w:r>
      <w:r w:rsidR="00087185">
        <w:rPr>
          <w:spacing w:val="-2"/>
        </w:rPr>
        <w:t>g</w:t>
      </w:r>
      <w:r w:rsidRPr="00D3622B">
        <w:rPr>
          <w:spacing w:val="-2"/>
        </w:rPr>
        <w:t xml:space="preserve">overnor. The Systems are fiduciary funds defined as pension (and other employee benefit) trust funds. </w:t>
      </w:r>
      <w:r w:rsidR="0081593F" w:rsidRPr="00D3622B">
        <w:rPr>
          <w:spacing w:val="-2"/>
        </w:rPr>
        <w:t>The Systems are</w:t>
      </w:r>
      <w:r w:rsidRPr="00D3622B">
        <w:rPr>
          <w:spacing w:val="-2"/>
        </w:rPr>
        <w:t xml:space="preserve"> a component unit of the State of Utah. Title 49 of the </w:t>
      </w:r>
      <w:r w:rsidRPr="00D3622B">
        <w:rPr>
          <w:i/>
          <w:spacing w:val="-2"/>
        </w:rPr>
        <w:t>Utah Code</w:t>
      </w:r>
      <w:r w:rsidRPr="00D3622B">
        <w:rPr>
          <w:spacing w:val="-2"/>
        </w:rPr>
        <w:t xml:space="preserve"> grants the authority to establish and amend the benefit terms.</w:t>
      </w:r>
    </w:p>
    <w:p w:rsidR="00EC26FD" w:rsidRPr="005C637B" w:rsidRDefault="00EC26FD" w:rsidP="00EC26FD">
      <w:pPr>
        <w:autoSpaceDE w:val="0"/>
        <w:autoSpaceDN w:val="0"/>
        <w:adjustRightInd w:val="0"/>
        <w:jc w:val="both"/>
      </w:pPr>
    </w:p>
    <w:p w:rsidR="00E200C2" w:rsidRPr="005C637B" w:rsidRDefault="0081593F" w:rsidP="00087185">
      <w:pPr>
        <w:autoSpaceDE w:val="0"/>
        <w:autoSpaceDN w:val="0"/>
        <w:adjustRightInd w:val="0"/>
        <w:jc w:val="both"/>
      </w:pPr>
      <w:r>
        <w:t>The Systems issue</w:t>
      </w:r>
      <w:r w:rsidR="00E200C2" w:rsidRPr="005C637B">
        <w:t xml:space="preserve"> a publicly available financial report that can be obtained by writing </w:t>
      </w:r>
      <w:r>
        <w:t xml:space="preserve">to the </w:t>
      </w:r>
      <w:r w:rsidR="00E200C2" w:rsidRPr="005C637B">
        <w:t>Utah Retirement Systems, 560 E. 200 S, Salt Lake City,</w:t>
      </w:r>
      <w:r w:rsidR="00E200C2">
        <w:t xml:space="preserve"> </w:t>
      </w:r>
      <w:r w:rsidR="00E200C2" w:rsidRPr="005C637B">
        <w:t>Utah 84102 or visiting the website: www.urs.org.</w:t>
      </w:r>
    </w:p>
    <w:p w:rsidR="00E200C2" w:rsidRDefault="00E200C2" w:rsidP="00EC26FD">
      <w:pPr>
        <w:autoSpaceDE w:val="0"/>
        <w:autoSpaceDN w:val="0"/>
        <w:adjustRightInd w:val="0"/>
        <w:jc w:val="both"/>
      </w:pPr>
    </w:p>
    <w:p w:rsidR="00E200C2" w:rsidRPr="00D3622B" w:rsidRDefault="0081593F" w:rsidP="00087185">
      <w:pPr>
        <w:autoSpaceDE w:val="0"/>
        <w:autoSpaceDN w:val="0"/>
        <w:adjustRightInd w:val="0"/>
        <w:jc w:val="both"/>
        <w:rPr>
          <w:b/>
          <w:spacing w:val="-2"/>
        </w:rPr>
      </w:pPr>
      <w:r w:rsidRPr="00087185">
        <w:t>The</w:t>
      </w:r>
      <w:r w:rsidRPr="00D3622B">
        <w:rPr>
          <w:spacing w:val="-2"/>
        </w:rPr>
        <w:t xml:space="preserve"> Systems </w:t>
      </w:r>
      <w:r w:rsidR="00E200C2" w:rsidRPr="00D3622B">
        <w:rPr>
          <w:spacing w:val="-2"/>
        </w:rPr>
        <w:t>provide retirement, disability, and death benefits</w:t>
      </w:r>
      <w:r w:rsidR="00087185">
        <w:rPr>
          <w:spacing w:val="-2"/>
        </w:rPr>
        <w:t xml:space="preserve"> to participants in the defined pension plans</w:t>
      </w:r>
      <w:r w:rsidR="00E200C2" w:rsidRPr="00D3622B">
        <w:rPr>
          <w:spacing w:val="-2"/>
        </w:rPr>
        <w:t>. Retirement benefits are as follows:</w:t>
      </w:r>
    </w:p>
    <w:p w:rsidR="00AD051A" w:rsidRDefault="00AD051A" w:rsidP="00FE18A6">
      <w:pPr>
        <w:autoSpaceDE w:val="0"/>
        <w:autoSpaceDN w:val="0"/>
        <w:adjustRightInd w:val="0"/>
        <w:jc w:val="both"/>
      </w:pPr>
    </w:p>
    <w:p w:rsidR="005E6444" w:rsidRPr="005E6444" w:rsidRDefault="005E6444" w:rsidP="00FE18A6">
      <w:pPr>
        <w:autoSpaceDE w:val="0"/>
        <w:autoSpaceDN w:val="0"/>
        <w:adjustRightInd w:val="0"/>
        <w:jc w:val="both"/>
        <w:rPr>
          <w:b/>
          <w:color w:val="FF0000"/>
        </w:rPr>
      </w:pPr>
      <w:r w:rsidRPr="005E6444">
        <w:rPr>
          <w:b/>
          <w:color w:val="FF0000"/>
          <w:highlight w:val="yellow"/>
        </w:rPr>
        <w:t>[NOTE:  Paste Excel tables as “PICTURES” into your word processing document.]</w:t>
      </w:r>
    </w:p>
    <w:p w:rsidR="005E6444" w:rsidRDefault="005E6444" w:rsidP="00FE18A6">
      <w:pPr>
        <w:autoSpaceDE w:val="0"/>
        <w:autoSpaceDN w:val="0"/>
        <w:adjustRightInd w:val="0"/>
        <w:jc w:val="both"/>
      </w:pPr>
    </w:p>
    <w:p w:rsidR="0075161C" w:rsidRDefault="00B34CD8" w:rsidP="0032160F">
      <w:pPr>
        <w:autoSpaceDE w:val="0"/>
        <w:autoSpaceDN w:val="0"/>
        <w:adjustRightInd w:val="0"/>
        <w:jc w:val="center"/>
      </w:pPr>
      <w:r w:rsidRPr="00B34CD8">
        <w:drawing>
          <wp:inline distT="0" distB="0" distL="0" distR="0">
            <wp:extent cx="5943600" cy="462714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627142"/>
                    </a:xfrm>
                    <a:prstGeom prst="rect">
                      <a:avLst/>
                    </a:prstGeom>
                    <a:noFill/>
                    <a:ln>
                      <a:noFill/>
                    </a:ln>
                  </pic:spPr>
                </pic:pic>
              </a:graphicData>
            </a:graphic>
          </wp:inline>
        </w:drawing>
      </w:r>
    </w:p>
    <w:p w:rsidR="00FE18A6" w:rsidRDefault="00FE18A6" w:rsidP="00FE18A6">
      <w:pPr>
        <w:autoSpaceDE w:val="0"/>
        <w:autoSpaceDN w:val="0"/>
        <w:adjustRightInd w:val="0"/>
        <w:jc w:val="both"/>
        <w:rPr>
          <w:spacing w:val="-2"/>
        </w:rPr>
      </w:pPr>
    </w:p>
    <w:p w:rsidR="00E200C2" w:rsidRDefault="00E200C2" w:rsidP="00FE18A6">
      <w:pPr>
        <w:autoSpaceDE w:val="0"/>
        <w:autoSpaceDN w:val="0"/>
        <w:adjustRightInd w:val="0"/>
        <w:jc w:val="both"/>
        <w:rPr>
          <w:spacing w:val="-2"/>
        </w:rPr>
      </w:pPr>
      <w:r w:rsidRPr="002D3812">
        <w:rPr>
          <w:spacing w:val="-2"/>
        </w:rPr>
        <w:t xml:space="preserve">As a condition of participation in the Systems, employers and/or employees are required to contribute certain percentages of salary and wages as authorized by statute and specified by the </w:t>
      </w:r>
      <w:r w:rsidR="008459D8">
        <w:rPr>
          <w:spacing w:val="-2"/>
        </w:rPr>
        <w:t>URS</w:t>
      </w:r>
      <w:r w:rsidR="003B0586" w:rsidRPr="002D3812">
        <w:rPr>
          <w:spacing w:val="-2"/>
        </w:rPr>
        <w:t xml:space="preserve"> </w:t>
      </w:r>
      <w:r w:rsidRPr="002D3812">
        <w:rPr>
          <w:spacing w:val="-2"/>
        </w:rPr>
        <w:t>Board. Contributions are actuarially determined as an amount that, when combined with employee contributions (where applicable)</w:t>
      </w:r>
      <w:r w:rsidR="0081593F" w:rsidRPr="002D3812">
        <w:rPr>
          <w:spacing w:val="-2"/>
        </w:rPr>
        <w:t>,</w:t>
      </w:r>
      <w:r w:rsidRPr="002D3812">
        <w:rPr>
          <w:spacing w:val="-2"/>
        </w:rPr>
        <w:t xml:space="preserve"> is expected to finance the costs </w:t>
      </w:r>
      <w:r w:rsidR="00124AA4" w:rsidRPr="002D3812">
        <w:rPr>
          <w:spacing w:val="-2"/>
        </w:rPr>
        <w:t>of benefits earned by employees during the year,</w:t>
      </w:r>
      <w:r w:rsidRPr="002D3812">
        <w:rPr>
          <w:spacing w:val="-2"/>
        </w:rPr>
        <w:t xml:space="preserve"> with an additional amount to finance any unfunded actuarial accrued liabilit</w:t>
      </w:r>
      <w:r w:rsidR="00F97733">
        <w:rPr>
          <w:spacing w:val="-2"/>
        </w:rPr>
        <w:t>y. For the year ended June 30, 201</w:t>
      </w:r>
      <w:r w:rsidR="008A0BDF">
        <w:rPr>
          <w:spacing w:val="-2"/>
        </w:rPr>
        <w:t>7</w:t>
      </w:r>
      <w:r w:rsidR="00F97733">
        <w:rPr>
          <w:spacing w:val="-2"/>
        </w:rPr>
        <w:t>, c</w:t>
      </w:r>
      <w:r w:rsidRPr="002D3812">
        <w:rPr>
          <w:spacing w:val="-2"/>
        </w:rPr>
        <w:t xml:space="preserve">ontribution rates </w:t>
      </w:r>
      <w:r w:rsidR="00F97733">
        <w:rPr>
          <w:spacing w:val="-2"/>
        </w:rPr>
        <w:t>we</w:t>
      </w:r>
      <w:r w:rsidRPr="002D3812">
        <w:rPr>
          <w:spacing w:val="-2"/>
        </w:rPr>
        <w:t>re as follows:</w:t>
      </w:r>
    </w:p>
    <w:p w:rsidR="00F97733" w:rsidRPr="002D3812" w:rsidRDefault="00F97733" w:rsidP="00FE18A6">
      <w:pPr>
        <w:autoSpaceDE w:val="0"/>
        <w:autoSpaceDN w:val="0"/>
        <w:adjustRightInd w:val="0"/>
        <w:jc w:val="both"/>
        <w:rPr>
          <w:spacing w:val="-2"/>
        </w:rPr>
      </w:pPr>
    </w:p>
    <w:p w:rsidR="003E127E" w:rsidRDefault="005E6444" w:rsidP="0011276B">
      <w:pPr>
        <w:autoSpaceDE w:val="0"/>
        <w:autoSpaceDN w:val="0"/>
        <w:adjustRightInd w:val="0"/>
        <w:spacing w:after="120"/>
        <w:jc w:val="center"/>
      </w:pPr>
      <w:r w:rsidRPr="005E6444">
        <w:drawing>
          <wp:inline distT="0" distB="0" distL="0" distR="0">
            <wp:extent cx="5296535" cy="23336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6535" cy="2333625"/>
                    </a:xfrm>
                    <a:prstGeom prst="rect">
                      <a:avLst/>
                    </a:prstGeom>
                    <a:noFill/>
                    <a:ln>
                      <a:noFill/>
                    </a:ln>
                  </pic:spPr>
                </pic:pic>
              </a:graphicData>
            </a:graphic>
          </wp:inline>
        </w:drawing>
      </w:r>
    </w:p>
    <w:p w:rsidR="0026307C" w:rsidRDefault="0026307C" w:rsidP="00FE18A6">
      <w:pPr>
        <w:autoSpaceDE w:val="0"/>
        <w:autoSpaceDN w:val="0"/>
        <w:adjustRightInd w:val="0"/>
        <w:jc w:val="both"/>
      </w:pPr>
    </w:p>
    <w:p w:rsidR="00B57AE8" w:rsidRDefault="00B57AE8" w:rsidP="00FE18A6">
      <w:pPr>
        <w:autoSpaceDE w:val="0"/>
        <w:autoSpaceDN w:val="0"/>
        <w:adjustRightInd w:val="0"/>
        <w:jc w:val="both"/>
      </w:pPr>
      <w:r w:rsidRPr="00B57AE8">
        <w:t xml:space="preserve">For </w:t>
      </w:r>
      <w:r w:rsidRPr="00FE18A6">
        <w:rPr>
          <w:spacing w:val="-2"/>
        </w:rPr>
        <w:t>fiscal</w:t>
      </w:r>
      <w:r w:rsidRPr="00B57AE8">
        <w:t xml:space="preserve"> year ended June 30, </w:t>
      </w:r>
      <w:r w:rsidR="00675EFD">
        <w:t>201</w:t>
      </w:r>
      <w:r w:rsidR="00252741">
        <w:t>7</w:t>
      </w:r>
      <w:r w:rsidRPr="00B57AE8">
        <w:t>, the employer and employee contributions to the Systems were as follows:</w:t>
      </w:r>
    </w:p>
    <w:p w:rsidR="00B57AE8" w:rsidRDefault="00252741" w:rsidP="00252741">
      <w:pPr>
        <w:autoSpaceDE w:val="0"/>
        <w:autoSpaceDN w:val="0"/>
        <w:adjustRightInd w:val="0"/>
        <w:jc w:val="center"/>
      </w:pPr>
      <w:r w:rsidRPr="00252741">
        <w:drawing>
          <wp:inline distT="0" distB="0" distL="0" distR="0">
            <wp:extent cx="4532026" cy="16176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2663" cy="1621405"/>
                    </a:xfrm>
                    <a:prstGeom prst="rect">
                      <a:avLst/>
                    </a:prstGeom>
                    <a:noFill/>
                    <a:ln>
                      <a:noFill/>
                    </a:ln>
                  </pic:spPr>
                </pic:pic>
              </a:graphicData>
            </a:graphic>
          </wp:inline>
        </w:drawing>
      </w:r>
    </w:p>
    <w:p w:rsidR="00252741" w:rsidRPr="00B57AE8" w:rsidRDefault="00252741" w:rsidP="00252741">
      <w:pPr>
        <w:autoSpaceDE w:val="0"/>
        <w:autoSpaceDN w:val="0"/>
        <w:adjustRightInd w:val="0"/>
        <w:jc w:val="center"/>
      </w:pPr>
    </w:p>
    <w:p w:rsidR="00252741" w:rsidRDefault="00252741" w:rsidP="00252741">
      <w:pPr>
        <w:autoSpaceDE w:val="0"/>
        <w:autoSpaceDN w:val="0"/>
        <w:adjustRightInd w:val="0"/>
        <w:jc w:val="both"/>
      </w:pPr>
      <w:r>
        <w:t xml:space="preserve">Contributions reported are the </w:t>
      </w:r>
      <w:r w:rsidR="008459D8">
        <w:t>URS</w:t>
      </w:r>
      <w:r>
        <w:t xml:space="preserve"> Board approved required contributions.  Contributions in the Tier 2 Systems are used to finance the unfunded liabilities of the Tier 1 Systems.  </w:t>
      </w:r>
    </w:p>
    <w:p w:rsidR="00252741" w:rsidRDefault="00252741" w:rsidP="00252741">
      <w:pPr>
        <w:autoSpaceDE w:val="0"/>
        <w:autoSpaceDN w:val="0"/>
        <w:adjustRightInd w:val="0"/>
        <w:jc w:val="both"/>
      </w:pPr>
    </w:p>
    <w:p w:rsidR="00E200C2" w:rsidRDefault="00E200C2" w:rsidP="00252741">
      <w:pPr>
        <w:autoSpaceDE w:val="0"/>
        <w:autoSpaceDN w:val="0"/>
        <w:adjustRightInd w:val="0"/>
        <w:jc w:val="both"/>
      </w:pPr>
      <w:r w:rsidRPr="005C637B">
        <w:t xml:space="preserve">At </w:t>
      </w:r>
      <w:r w:rsidR="00EF264B">
        <w:t>June 30</w:t>
      </w:r>
      <w:r w:rsidRPr="005C637B">
        <w:t xml:space="preserve">, </w:t>
      </w:r>
      <w:r w:rsidR="00675EFD">
        <w:t>201</w:t>
      </w:r>
      <w:r w:rsidR="00252741">
        <w:t>7</w:t>
      </w:r>
      <w:r w:rsidRPr="005C637B">
        <w:t xml:space="preserve">, </w:t>
      </w:r>
      <w:r w:rsidR="00C359ED" w:rsidRPr="00C359ED">
        <w:rPr>
          <w:highlight w:val="yellow"/>
        </w:rPr>
        <w:t>[the Entity]</w:t>
      </w:r>
      <w:r w:rsidR="00C359ED">
        <w:t xml:space="preserve">’s </w:t>
      </w:r>
      <w:r w:rsidRPr="005C637B">
        <w:t xml:space="preserve">net pension asset and </w:t>
      </w:r>
      <w:r w:rsidRPr="00FE18A6">
        <w:rPr>
          <w:spacing w:val="-2"/>
        </w:rPr>
        <w:t>liability</w:t>
      </w:r>
      <w:r w:rsidRPr="005C637B">
        <w:t xml:space="preserve"> </w:t>
      </w:r>
      <w:r w:rsidR="00C359ED">
        <w:t>were as follows:</w:t>
      </w:r>
    </w:p>
    <w:p w:rsidR="0026307C" w:rsidRPr="005C637B" w:rsidRDefault="0026307C" w:rsidP="00252741">
      <w:pPr>
        <w:autoSpaceDE w:val="0"/>
        <w:autoSpaceDN w:val="0"/>
        <w:adjustRightInd w:val="0"/>
        <w:jc w:val="both"/>
      </w:pPr>
    </w:p>
    <w:p w:rsidR="008F68D8" w:rsidRDefault="004B115A" w:rsidP="00C27CAA">
      <w:pPr>
        <w:jc w:val="center"/>
      </w:pPr>
      <w:r w:rsidRPr="004B115A">
        <w:lastRenderedPageBreak/>
        <w:drawing>
          <wp:inline distT="0" distB="0" distL="0" distR="0">
            <wp:extent cx="5943600" cy="15796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579642"/>
                    </a:xfrm>
                    <a:prstGeom prst="rect">
                      <a:avLst/>
                    </a:prstGeom>
                    <a:noFill/>
                    <a:ln>
                      <a:noFill/>
                    </a:ln>
                  </pic:spPr>
                </pic:pic>
              </a:graphicData>
            </a:graphic>
          </wp:inline>
        </w:drawing>
      </w:r>
    </w:p>
    <w:p w:rsidR="00C27CAA" w:rsidRDefault="00C27CAA" w:rsidP="00FE18A6">
      <w:pPr>
        <w:autoSpaceDE w:val="0"/>
        <w:autoSpaceDN w:val="0"/>
        <w:adjustRightInd w:val="0"/>
        <w:jc w:val="both"/>
      </w:pPr>
    </w:p>
    <w:p w:rsidR="00E200C2" w:rsidRPr="005C637B" w:rsidRDefault="00E200C2" w:rsidP="00FE18A6">
      <w:pPr>
        <w:autoSpaceDE w:val="0"/>
        <w:autoSpaceDN w:val="0"/>
        <w:adjustRightInd w:val="0"/>
        <w:jc w:val="both"/>
      </w:pPr>
      <w:r w:rsidRPr="005C637B">
        <w:t>The net pension asset and liability w</w:t>
      </w:r>
      <w:r w:rsidR="0081593F">
        <w:t>ere</w:t>
      </w:r>
      <w:r w:rsidRPr="005C637B">
        <w:t xml:space="preserve"> measured as of December 31, </w:t>
      </w:r>
      <w:r w:rsidR="00675EFD">
        <w:t>201</w:t>
      </w:r>
      <w:r w:rsidR="004B115A">
        <w:t>6</w:t>
      </w:r>
      <w:r w:rsidR="00D25E59">
        <w:t>. T</w:t>
      </w:r>
      <w:r w:rsidRPr="005C637B">
        <w:t>he total pension liability used to calculate the net</w:t>
      </w:r>
      <w:r>
        <w:t xml:space="preserve"> </w:t>
      </w:r>
      <w:r w:rsidRPr="005C637B">
        <w:t xml:space="preserve">pension asset and liability was determined by an </w:t>
      </w:r>
      <w:r w:rsidRPr="00FE18A6">
        <w:rPr>
          <w:spacing w:val="-2"/>
        </w:rPr>
        <w:t>actuarial</w:t>
      </w:r>
      <w:r w:rsidRPr="005C637B">
        <w:t xml:space="preserve"> valuation as of January 1, </w:t>
      </w:r>
      <w:r w:rsidR="00675EFD">
        <w:t>201</w:t>
      </w:r>
      <w:r w:rsidR="004B115A">
        <w:t>6</w:t>
      </w:r>
      <w:r w:rsidRPr="005C637B">
        <w:t xml:space="preserve"> and rolled</w:t>
      </w:r>
      <w:r w:rsidR="0081593F">
        <w:t xml:space="preserve"> </w:t>
      </w:r>
      <w:r w:rsidRPr="005C637B">
        <w:t>forward using generally</w:t>
      </w:r>
      <w:r>
        <w:t xml:space="preserve"> </w:t>
      </w:r>
      <w:r w:rsidRPr="005C637B">
        <w:t>accepted actuarial procedures. The proportion of the net pension asset and liability</w:t>
      </w:r>
      <w:r w:rsidR="00FE26D1">
        <w:t xml:space="preserve"> is equal to the ratio of the employer</w:t>
      </w:r>
      <w:r w:rsidR="00B34536">
        <w:t>’</w:t>
      </w:r>
      <w:r w:rsidR="00FE26D1">
        <w:t xml:space="preserve">s actual contributions to the Systems during the plan year over the total of all employer contributions to the System during the plan year. </w:t>
      </w:r>
      <w:r w:rsidRPr="005C637B">
        <w:t xml:space="preserve"> </w:t>
      </w:r>
    </w:p>
    <w:p w:rsidR="008F68D8" w:rsidRDefault="008F68D8"/>
    <w:p w:rsidR="000F1CB1" w:rsidRDefault="00E200C2" w:rsidP="00FE18A6">
      <w:pPr>
        <w:autoSpaceDE w:val="0"/>
        <w:autoSpaceDN w:val="0"/>
        <w:adjustRightInd w:val="0"/>
        <w:jc w:val="both"/>
      </w:pPr>
      <w:r w:rsidRPr="005C637B">
        <w:t xml:space="preserve">For the year ended </w:t>
      </w:r>
      <w:r w:rsidR="00FE26D1">
        <w:t xml:space="preserve">June 30, </w:t>
      </w:r>
      <w:r w:rsidR="00252741">
        <w:t>2017</w:t>
      </w:r>
      <w:r w:rsidRPr="005C637B">
        <w:t xml:space="preserve">, </w:t>
      </w:r>
      <w:r w:rsidR="00C359ED" w:rsidRPr="004B115A">
        <w:rPr>
          <w:highlight w:val="yellow"/>
        </w:rPr>
        <w:t>[the Entity]</w:t>
      </w:r>
      <w:r w:rsidR="0081593F">
        <w:t xml:space="preserve"> </w:t>
      </w:r>
      <w:r w:rsidRPr="005C637B">
        <w:t xml:space="preserve">recognized </w:t>
      </w:r>
      <w:r w:rsidR="0081593F">
        <w:t xml:space="preserve">a </w:t>
      </w:r>
      <w:r w:rsidRPr="005C637B">
        <w:t>pension expense of $</w:t>
      </w:r>
      <w:r w:rsidR="004B115A" w:rsidRPr="004B115A">
        <w:rPr>
          <w:highlight w:val="yellow"/>
        </w:rPr>
        <w:t>xxx,xxx</w:t>
      </w:r>
      <w:r w:rsidRPr="005C637B">
        <w:t xml:space="preserve">. </w:t>
      </w:r>
    </w:p>
    <w:p w:rsidR="000F1CB1" w:rsidRDefault="000F1CB1" w:rsidP="00FE18A6">
      <w:pPr>
        <w:autoSpaceDE w:val="0"/>
        <w:autoSpaceDN w:val="0"/>
        <w:adjustRightInd w:val="0"/>
        <w:jc w:val="both"/>
      </w:pPr>
    </w:p>
    <w:p w:rsidR="007237C6" w:rsidRPr="005C637B" w:rsidRDefault="00E200C2" w:rsidP="00FE18A6">
      <w:pPr>
        <w:autoSpaceDE w:val="0"/>
        <w:autoSpaceDN w:val="0"/>
        <w:adjustRightInd w:val="0"/>
        <w:jc w:val="both"/>
      </w:pPr>
      <w:r w:rsidRPr="005C637B">
        <w:t xml:space="preserve">At </w:t>
      </w:r>
      <w:r w:rsidR="00FE26D1">
        <w:t xml:space="preserve">June 30, </w:t>
      </w:r>
      <w:r w:rsidR="00252741">
        <w:t>2017</w:t>
      </w:r>
      <w:r w:rsidRPr="005C637B">
        <w:t xml:space="preserve">, </w:t>
      </w:r>
      <w:r w:rsidR="00C359ED" w:rsidRPr="000F1CB1">
        <w:rPr>
          <w:highlight w:val="yellow"/>
        </w:rPr>
        <w:t>[the Entity]</w:t>
      </w:r>
      <w:r w:rsidR="00D25E59">
        <w:t xml:space="preserve"> </w:t>
      </w:r>
      <w:r w:rsidRPr="005C637B">
        <w:t>reported</w:t>
      </w:r>
      <w:r>
        <w:t xml:space="preserve"> </w:t>
      </w:r>
      <w:r w:rsidRPr="005C637B">
        <w:t xml:space="preserve">deferred outflows of resources and deferred inflows of resources related to pensions </w:t>
      </w:r>
      <w:r w:rsidR="00D25E59">
        <w:t xml:space="preserve">were </w:t>
      </w:r>
      <w:r w:rsidRPr="005C637B">
        <w:t>from the following sources:</w:t>
      </w:r>
    </w:p>
    <w:p w:rsidR="008F68D8" w:rsidRDefault="008F68D8" w:rsidP="00042DE0">
      <w:pPr>
        <w:autoSpaceDE w:val="0"/>
        <w:autoSpaceDN w:val="0"/>
        <w:adjustRightInd w:val="0"/>
        <w:jc w:val="both"/>
      </w:pPr>
    </w:p>
    <w:p w:rsidR="00AF5C93" w:rsidRDefault="00042DE0" w:rsidP="00042DE0">
      <w:pPr>
        <w:autoSpaceDE w:val="0"/>
        <w:autoSpaceDN w:val="0"/>
        <w:adjustRightInd w:val="0"/>
        <w:jc w:val="center"/>
      </w:pPr>
      <w:r w:rsidRPr="00042DE0">
        <w:drawing>
          <wp:inline distT="0" distB="0" distL="0" distR="0">
            <wp:extent cx="5466715" cy="21139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6715" cy="2113915"/>
                    </a:xfrm>
                    <a:prstGeom prst="rect">
                      <a:avLst/>
                    </a:prstGeom>
                    <a:noFill/>
                    <a:ln>
                      <a:noFill/>
                    </a:ln>
                  </pic:spPr>
                </pic:pic>
              </a:graphicData>
            </a:graphic>
          </wp:inline>
        </w:drawing>
      </w:r>
    </w:p>
    <w:p w:rsidR="00AF5C93" w:rsidRDefault="00AF5C93" w:rsidP="00042DE0">
      <w:pPr>
        <w:autoSpaceDE w:val="0"/>
        <w:autoSpaceDN w:val="0"/>
        <w:adjustRightInd w:val="0"/>
        <w:jc w:val="both"/>
      </w:pPr>
    </w:p>
    <w:p w:rsidR="00E200C2" w:rsidRDefault="00A97259" w:rsidP="00FE18A6">
      <w:pPr>
        <w:autoSpaceDE w:val="0"/>
        <w:autoSpaceDN w:val="0"/>
        <w:adjustRightInd w:val="0"/>
        <w:jc w:val="both"/>
      </w:pPr>
      <w:r>
        <w:t xml:space="preserve">Of the amount </w:t>
      </w:r>
      <w:r w:rsidR="00E200C2" w:rsidRPr="005C637B">
        <w:t>reported as deferred outflows of resources related to pensions</w:t>
      </w:r>
      <w:r>
        <w:t xml:space="preserve">, </w:t>
      </w:r>
      <w:r w:rsidRPr="005C637B">
        <w:t>$</w:t>
      </w:r>
      <w:r w:rsidR="00444DBD" w:rsidRPr="00444DBD">
        <w:rPr>
          <w:highlight w:val="yellow"/>
        </w:rPr>
        <w:t>xxx,xxx</w:t>
      </w:r>
      <w:r w:rsidRPr="005C637B">
        <w:t xml:space="preserve"> </w:t>
      </w:r>
      <w:r w:rsidR="00E200C2" w:rsidRPr="003A2334">
        <w:rPr>
          <w:spacing w:val="-2"/>
        </w:rPr>
        <w:t>result</w:t>
      </w:r>
      <w:r w:rsidRPr="003A2334">
        <w:rPr>
          <w:spacing w:val="-2"/>
        </w:rPr>
        <w:t>ed</w:t>
      </w:r>
      <w:r w:rsidR="00E200C2" w:rsidRPr="003A2334">
        <w:rPr>
          <w:spacing w:val="-2"/>
        </w:rPr>
        <w:t xml:space="preserve"> from contributions made by </w:t>
      </w:r>
      <w:r w:rsidR="00C359ED" w:rsidRPr="00444DBD">
        <w:rPr>
          <w:spacing w:val="-2"/>
          <w:highlight w:val="yellow"/>
        </w:rPr>
        <w:t>[the Entity]</w:t>
      </w:r>
      <w:r w:rsidRPr="003A2334">
        <w:rPr>
          <w:spacing w:val="-2"/>
        </w:rPr>
        <w:t xml:space="preserve"> </w:t>
      </w:r>
      <w:r w:rsidR="00E200C2" w:rsidRPr="003A2334">
        <w:rPr>
          <w:spacing w:val="-2"/>
        </w:rPr>
        <w:t xml:space="preserve">prior to </w:t>
      </w:r>
      <w:r w:rsidRPr="003A2334">
        <w:rPr>
          <w:spacing w:val="-2"/>
        </w:rPr>
        <w:t xml:space="preserve">their </w:t>
      </w:r>
      <w:r w:rsidR="00E200C2" w:rsidRPr="003A2334">
        <w:rPr>
          <w:spacing w:val="-2"/>
        </w:rPr>
        <w:t>fiscal year end, but subsequent</w:t>
      </w:r>
      <w:r w:rsidR="00E200C2" w:rsidRPr="005C637B">
        <w:t xml:space="preserve"> to the measurement date of December 31, </w:t>
      </w:r>
      <w:r w:rsidR="00675EFD">
        <w:t>2017</w:t>
      </w:r>
      <w:r w:rsidR="00E200C2" w:rsidRPr="005C637B">
        <w:t>. These contributions will be recognized as a reduction of</w:t>
      </w:r>
      <w:r w:rsidR="00E200C2">
        <w:t xml:space="preserve"> </w:t>
      </w:r>
      <w:r w:rsidR="00E200C2" w:rsidRPr="005C637B">
        <w:t>the net pension liability in the upcoming fiscal year. Other amounts reported as deferred outflows of resources and deferred</w:t>
      </w:r>
      <w:r w:rsidR="00EC26FD">
        <w:t xml:space="preserve"> </w:t>
      </w:r>
      <w:r w:rsidR="00E200C2" w:rsidRPr="005C637B">
        <w:t xml:space="preserve">inflows of resources related to pensions will be recognized </w:t>
      </w:r>
      <w:r>
        <w:t xml:space="preserve">as </w:t>
      </w:r>
      <w:r w:rsidR="00E200C2" w:rsidRPr="005C637B">
        <w:t>pension expense as follows:</w:t>
      </w:r>
    </w:p>
    <w:p w:rsidR="00B3708D" w:rsidRPr="002D3812" w:rsidRDefault="00B3708D" w:rsidP="001E49E1">
      <w:pPr>
        <w:autoSpaceDE w:val="0"/>
        <w:autoSpaceDN w:val="0"/>
        <w:adjustRightInd w:val="0"/>
        <w:ind w:left="720"/>
        <w:jc w:val="both"/>
        <w:rPr>
          <w:sz w:val="12"/>
          <w:szCs w:val="12"/>
        </w:rPr>
      </w:pPr>
    </w:p>
    <w:p w:rsidR="001F0813" w:rsidRDefault="00EE6998" w:rsidP="00EE6998">
      <w:pPr>
        <w:autoSpaceDE w:val="0"/>
        <w:autoSpaceDN w:val="0"/>
        <w:adjustRightInd w:val="0"/>
        <w:jc w:val="center"/>
      </w:pPr>
      <w:r w:rsidRPr="00EE6998">
        <w:lastRenderedPageBreak/>
        <w:drawing>
          <wp:inline distT="0" distB="0" distL="0" distR="0">
            <wp:extent cx="3257550" cy="13442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7550" cy="1344295"/>
                    </a:xfrm>
                    <a:prstGeom prst="rect">
                      <a:avLst/>
                    </a:prstGeom>
                    <a:noFill/>
                    <a:ln>
                      <a:noFill/>
                    </a:ln>
                  </pic:spPr>
                </pic:pic>
              </a:graphicData>
            </a:graphic>
          </wp:inline>
        </w:drawing>
      </w:r>
    </w:p>
    <w:p w:rsidR="001F0813" w:rsidRDefault="001F0813" w:rsidP="001F0813">
      <w:pPr>
        <w:autoSpaceDE w:val="0"/>
        <w:autoSpaceDN w:val="0"/>
        <w:adjustRightInd w:val="0"/>
        <w:ind w:left="720"/>
        <w:jc w:val="both"/>
      </w:pPr>
    </w:p>
    <w:p w:rsidR="00E200C2" w:rsidRPr="005C637B" w:rsidRDefault="00E200C2" w:rsidP="00FE18A6">
      <w:pPr>
        <w:autoSpaceDE w:val="0"/>
        <w:autoSpaceDN w:val="0"/>
        <w:adjustRightInd w:val="0"/>
        <w:jc w:val="both"/>
      </w:pPr>
      <w:r w:rsidRPr="005C637B">
        <w:t xml:space="preserve">The total pension liability in the December 31, </w:t>
      </w:r>
      <w:r w:rsidR="00675EFD">
        <w:t>201</w:t>
      </w:r>
      <w:r w:rsidR="00EE6998">
        <w:t>6</w:t>
      </w:r>
      <w:r w:rsidR="002C0820">
        <w:t xml:space="preserve"> </w:t>
      </w:r>
      <w:r w:rsidRPr="005C637B">
        <w:t xml:space="preserve">actuarial valuation was determined using </w:t>
      </w:r>
      <w:r w:rsidRPr="00FE18A6">
        <w:rPr>
          <w:spacing w:val="-2"/>
        </w:rPr>
        <w:t>the</w:t>
      </w:r>
      <w:r w:rsidRPr="005C637B">
        <w:t xml:space="preserve"> following</w:t>
      </w:r>
      <w:r>
        <w:t xml:space="preserve"> </w:t>
      </w:r>
      <w:r w:rsidRPr="005C637B">
        <w:t>actuarial assumptions, applied to all periods included in the measurement:</w:t>
      </w:r>
    </w:p>
    <w:p w:rsidR="002E56AE" w:rsidRDefault="00D326F7" w:rsidP="002E56AE">
      <w:pPr>
        <w:autoSpaceDE w:val="0"/>
        <w:autoSpaceDN w:val="0"/>
        <w:adjustRightInd w:val="0"/>
        <w:ind w:left="720"/>
        <w:jc w:val="center"/>
      </w:pPr>
      <w:r w:rsidRPr="00D326F7">
        <w:rPr>
          <w:noProof/>
        </w:rPr>
        <w:drawing>
          <wp:inline distT="0" distB="0" distL="0" distR="0">
            <wp:extent cx="5379720" cy="1082040"/>
            <wp:effectExtent l="0" t="0" r="0" b="0"/>
            <wp:docPr id="1469" name="Picture 1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79720" cy="1082040"/>
                    </a:xfrm>
                    <a:prstGeom prst="rect">
                      <a:avLst/>
                    </a:prstGeom>
                    <a:noFill/>
                    <a:ln>
                      <a:noFill/>
                    </a:ln>
                  </pic:spPr>
                </pic:pic>
              </a:graphicData>
            </a:graphic>
          </wp:inline>
        </w:drawing>
      </w:r>
    </w:p>
    <w:p w:rsidR="009C415C" w:rsidRPr="009C415C" w:rsidRDefault="009C415C" w:rsidP="00FE18A6">
      <w:pPr>
        <w:autoSpaceDE w:val="0"/>
        <w:autoSpaceDN w:val="0"/>
        <w:adjustRightInd w:val="0"/>
        <w:jc w:val="both"/>
        <w:rPr>
          <w:color w:val="000000" w:themeColor="text1"/>
        </w:rPr>
      </w:pPr>
      <w:r w:rsidRPr="009C415C">
        <w:rPr>
          <w:color w:val="000000" w:themeColor="text1"/>
          <w:sz w:val="23"/>
          <w:szCs w:val="23"/>
        </w:rPr>
        <w:t xml:space="preserve">Mortality rates were developed from actual experience and mortality tables, based on gender, </w:t>
      </w:r>
      <w:r w:rsidRPr="00FE18A6">
        <w:rPr>
          <w:spacing w:val="-2"/>
        </w:rPr>
        <w:t>occupation</w:t>
      </w:r>
      <w:r w:rsidR="00EE6998">
        <w:rPr>
          <w:spacing w:val="-2"/>
        </w:rPr>
        <w:t>,</w:t>
      </w:r>
      <w:r w:rsidRPr="009C415C">
        <w:rPr>
          <w:color w:val="000000" w:themeColor="text1"/>
          <w:sz w:val="23"/>
          <w:szCs w:val="23"/>
        </w:rPr>
        <w:t xml:space="preserve"> and age, as appropriate, with adjustments for future improvement in mortality based on Scale AA, a model developed by the Society of Actuaries.</w:t>
      </w:r>
    </w:p>
    <w:p w:rsidR="009C415C" w:rsidRDefault="009C415C" w:rsidP="00FE18A6">
      <w:pPr>
        <w:autoSpaceDE w:val="0"/>
        <w:autoSpaceDN w:val="0"/>
        <w:adjustRightInd w:val="0"/>
        <w:jc w:val="both"/>
      </w:pPr>
    </w:p>
    <w:p w:rsidR="00E200C2" w:rsidRPr="005C637B" w:rsidRDefault="00E200C2" w:rsidP="00FE18A6">
      <w:pPr>
        <w:autoSpaceDE w:val="0"/>
        <w:autoSpaceDN w:val="0"/>
        <w:adjustRightInd w:val="0"/>
        <w:jc w:val="both"/>
      </w:pPr>
      <w:r w:rsidRPr="005C637B">
        <w:t>The actuarial assumpti</w:t>
      </w:r>
      <w:r w:rsidR="00A97259">
        <w:t xml:space="preserve">ons used in the January 1, </w:t>
      </w:r>
      <w:r w:rsidR="00675EFD">
        <w:t>201</w:t>
      </w:r>
      <w:r w:rsidR="0029709E">
        <w:t>6</w:t>
      </w:r>
      <w:r w:rsidRPr="005C637B">
        <w:t xml:space="preserve"> valuation were based on the results of an </w:t>
      </w:r>
      <w:r w:rsidRPr="00FE18A6">
        <w:rPr>
          <w:spacing w:val="-2"/>
        </w:rPr>
        <w:t>actuarial</w:t>
      </w:r>
      <w:r w:rsidRPr="005C637B">
        <w:t xml:space="preserve"> experience study for the</w:t>
      </w:r>
      <w:r>
        <w:t xml:space="preserve"> </w:t>
      </w:r>
      <w:r w:rsidR="0029709E">
        <w:t>five</w:t>
      </w:r>
      <w:r w:rsidR="00A97259">
        <w:t>-</w:t>
      </w:r>
      <w:r w:rsidRPr="005C637B">
        <w:t>year period</w:t>
      </w:r>
      <w:r w:rsidR="0029709E">
        <w:t xml:space="preserve"> ending</w:t>
      </w:r>
      <w:r w:rsidRPr="005C637B">
        <w:t xml:space="preserve"> December 31, 2013.</w:t>
      </w:r>
    </w:p>
    <w:p w:rsidR="00E200C2" w:rsidRDefault="00E200C2" w:rsidP="00BB0644">
      <w:pPr>
        <w:autoSpaceDE w:val="0"/>
        <w:autoSpaceDN w:val="0"/>
        <w:adjustRightInd w:val="0"/>
        <w:spacing w:line="235" w:lineRule="auto"/>
      </w:pPr>
    </w:p>
    <w:p w:rsidR="001C39C9" w:rsidRDefault="00E200C2" w:rsidP="00FE18A6">
      <w:pPr>
        <w:autoSpaceDE w:val="0"/>
        <w:autoSpaceDN w:val="0"/>
        <w:adjustRightInd w:val="0"/>
        <w:jc w:val="both"/>
      </w:pPr>
      <w:r w:rsidRPr="005C637B">
        <w:t xml:space="preserve">The </w:t>
      </w:r>
      <w:r w:rsidRPr="00FE18A6">
        <w:rPr>
          <w:spacing w:val="-2"/>
        </w:rPr>
        <w:t>long</w:t>
      </w:r>
      <w:r w:rsidRPr="005C637B">
        <w:t>-term expected rate of return on pension plan investments was determined using a building-block method in which best</w:t>
      </w:r>
      <w:r w:rsidR="008034CD">
        <w:t>-</w:t>
      </w:r>
      <w:r w:rsidRPr="005C637B">
        <w:t>estimate</w:t>
      </w:r>
      <w:r>
        <w:t xml:space="preserve"> </w:t>
      </w:r>
      <w:r w:rsidRPr="005C637B">
        <w:t>ranges of expected future real rates of return (expected returns, net of pension plan investment expense and inflation) are</w:t>
      </w:r>
      <w:r>
        <w:t xml:space="preserve"> </w:t>
      </w:r>
      <w:r w:rsidRPr="005C637B">
        <w:t>developed for each major asset class</w:t>
      </w:r>
      <w:r w:rsidR="008034CD">
        <w:t xml:space="preserve"> and is applied consistently to each defined benefit pension plan</w:t>
      </w:r>
      <w:r w:rsidRPr="005C637B">
        <w:t>. These ranges are combined to produce the long-term expected rate of return by weighting</w:t>
      </w:r>
      <w:r>
        <w:t xml:space="preserve"> </w:t>
      </w:r>
      <w:r w:rsidRPr="005C637B">
        <w:t xml:space="preserve">the expected future real rates of return by the target asset allocation percentage and by adding expected inflation. </w:t>
      </w:r>
    </w:p>
    <w:p w:rsidR="001C39C9" w:rsidRDefault="001C39C9" w:rsidP="00FE18A6">
      <w:pPr>
        <w:autoSpaceDE w:val="0"/>
        <w:autoSpaceDN w:val="0"/>
        <w:adjustRightInd w:val="0"/>
        <w:jc w:val="both"/>
      </w:pPr>
    </w:p>
    <w:p w:rsidR="004815BA" w:rsidRDefault="00E200C2" w:rsidP="00FE18A6">
      <w:pPr>
        <w:autoSpaceDE w:val="0"/>
        <w:autoSpaceDN w:val="0"/>
        <w:adjustRightInd w:val="0"/>
        <w:jc w:val="both"/>
      </w:pPr>
      <w:r w:rsidRPr="005C637B">
        <w:t>The target</w:t>
      </w:r>
      <w:r>
        <w:t xml:space="preserve"> </w:t>
      </w:r>
      <w:r w:rsidRPr="005C637B">
        <w:t>allocation and best estimates of arithmetic real rates of return for each major asset class are summarized in the following table:</w:t>
      </w:r>
    </w:p>
    <w:p w:rsidR="0026307C" w:rsidRDefault="0026307C" w:rsidP="00FE18A6">
      <w:pPr>
        <w:autoSpaceDE w:val="0"/>
        <w:autoSpaceDN w:val="0"/>
        <w:adjustRightInd w:val="0"/>
        <w:jc w:val="both"/>
      </w:pPr>
    </w:p>
    <w:p w:rsidR="00E200C2" w:rsidRDefault="00551D77" w:rsidP="00551D77">
      <w:pPr>
        <w:autoSpaceDE w:val="0"/>
        <w:autoSpaceDN w:val="0"/>
        <w:adjustRightInd w:val="0"/>
        <w:jc w:val="center"/>
      </w:pPr>
      <w:r w:rsidRPr="00551D77">
        <w:lastRenderedPageBreak/>
        <w:drawing>
          <wp:inline distT="0" distB="0" distL="0" distR="0">
            <wp:extent cx="5316511" cy="25442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2656" cy="2547173"/>
                    </a:xfrm>
                    <a:prstGeom prst="rect">
                      <a:avLst/>
                    </a:prstGeom>
                    <a:noFill/>
                    <a:ln>
                      <a:noFill/>
                    </a:ln>
                  </pic:spPr>
                </pic:pic>
              </a:graphicData>
            </a:graphic>
          </wp:inline>
        </w:drawing>
      </w:r>
    </w:p>
    <w:p w:rsidR="00626312" w:rsidRPr="00DA6858" w:rsidRDefault="00626312" w:rsidP="009721FC">
      <w:pPr>
        <w:autoSpaceDE w:val="0"/>
        <w:autoSpaceDN w:val="0"/>
        <w:adjustRightInd w:val="0"/>
        <w:spacing w:line="235" w:lineRule="auto"/>
        <w:ind w:left="720"/>
        <w:jc w:val="both"/>
        <w:rPr>
          <w:sz w:val="12"/>
          <w:szCs w:val="12"/>
        </w:rPr>
      </w:pPr>
    </w:p>
    <w:p w:rsidR="00E200C2" w:rsidRPr="005C637B" w:rsidRDefault="00E200C2" w:rsidP="00FE18A6">
      <w:pPr>
        <w:autoSpaceDE w:val="0"/>
        <w:autoSpaceDN w:val="0"/>
        <w:adjustRightInd w:val="0"/>
        <w:jc w:val="both"/>
      </w:pPr>
      <w:r w:rsidRPr="005C637B">
        <w:t>The 7.</w:t>
      </w:r>
      <w:r w:rsidR="00E17E60">
        <w:t>2</w:t>
      </w:r>
      <w:r w:rsidRPr="005C637B">
        <w:t>0% assumed investment rate of return is comprised of an inflation rate of 2.</w:t>
      </w:r>
      <w:r w:rsidR="001363CE">
        <w:t>60</w:t>
      </w:r>
      <w:r w:rsidRPr="005C637B">
        <w:t>%, a real return of 4.</w:t>
      </w:r>
      <w:r w:rsidR="00E17E60">
        <w:t>60</w:t>
      </w:r>
      <w:r w:rsidRPr="005C637B">
        <w:t>% that is net of</w:t>
      </w:r>
      <w:r>
        <w:t xml:space="preserve"> </w:t>
      </w:r>
      <w:r w:rsidRPr="005C637B">
        <w:t>investment expense.</w:t>
      </w:r>
    </w:p>
    <w:p w:rsidR="00E200C2" w:rsidRDefault="00E200C2" w:rsidP="009721FC">
      <w:pPr>
        <w:autoSpaceDE w:val="0"/>
        <w:autoSpaceDN w:val="0"/>
        <w:adjustRightInd w:val="0"/>
        <w:spacing w:line="235" w:lineRule="auto"/>
        <w:jc w:val="both"/>
      </w:pPr>
    </w:p>
    <w:p w:rsidR="00E200C2" w:rsidRPr="005C637B" w:rsidRDefault="00E200C2" w:rsidP="00FE18A6">
      <w:pPr>
        <w:autoSpaceDE w:val="0"/>
        <w:autoSpaceDN w:val="0"/>
        <w:adjustRightInd w:val="0"/>
        <w:jc w:val="both"/>
      </w:pPr>
      <w:r w:rsidRPr="005C637B">
        <w:t>The discount rate used to measure the total pension liability was 7.</w:t>
      </w:r>
      <w:r w:rsidR="00E17E60">
        <w:t>2</w:t>
      </w:r>
      <w:r w:rsidR="008459D8">
        <w:t>0%</w:t>
      </w:r>
      <w:r w:rsidRPr="005C637B">
        <w:t xml:space="preserve">. The </w:t>
      </w:r>
      <w:r w:rsidRPr="00FE18A6">
        <w:rPr>
          <w:spacing w:val="-2"/>
        </w:rPr>
        <w:t>projection</w:t>
      </w:r>
      <w:r w:rsidRPr="005C637B">
        <w:t xml:space="preserve"> of cash flows used to</w:t>
      </w:r>
      <w:r>
        <w:t xml:space="preserve"> </w:t>
      </w:r>
      <w:r w:rsidRPr="005C637B">
        <w:t>determine the discount rate assume</w:t>
      </w:r>
      <w:r w:rsidR="008459D8">
        <w:t>s</w:t>
      </w:r>
      <w:r w:rsidRPr="005C637B">
        <w:t xml:space="preserve"> that employee contributions will be made at the current contribution rate and that</w:t>
      </w:r>
      <w:r>
        <w:t xml:space="preserve"> </w:t>
      </w:r>
      <w:r w:rsidRPr="005C637B">
        <w:t>contributions from all participating employers will be made at contractually required rates that are actuarially determined and</w:t>
      </w:r>
      <w:r>
        <w:t xml:space="preserve"> </w:t>
      </w:r>
      <w:r w:rsidRPr="005C637B">
        <w:t xml:space="preserve">certified by the </w:t>
      </w:r>
      <w:r w:rsidR="008459D8">
        <w:t>URS</w:t>
      </w:r>
      <w:r w:rsidRPr="005C637B">
        <w:t xml:space="preserve"> Board. Based on those assumptions, the pension plan</w:t>
      </w:r>
      <w:r w:rsidR="00B34536">
        <w:t>’</w:t>
      </w:r>
      <w:r w:rsidRPr="005C637B">
        <w:t>s fiduciary net position was projected to be available to</w:t>
      </w:r>
      <w:r>
        <w:t xml:space="preserve"> </w:t>
      </w:r>
      <w:r w:rsidRPr="005C637B">
        <w:t xml:space="preserve">make all projected future benefit payments of current active and inactive </w:t>
      </w:r>
      <w:r>
        <w:t>e</w:t>
      </w:r>
      <w:r w:rsidRPr="005C637B">
        <w:t>mployees. Therefore, the long-term expected rate of</w:t>
      </w:r>
      <w:r>
        <w:t xml:space="preserve"> </w:t>
      </w:r>
      <w:r w:rsidRPr="005C637B">
        <w:t>return on pension plan investments was applied to all periods of projected benefit payments to determine the total pension</w:t>
      </w:r>
      <w:r>
        <w:t xml:space="preserve"> </w:t>
      </w:r>
      <w:r w:rsidRPr="005C637B">
        <w:t>liability.</w:t>
      </w:r>
      <w:r w:rsidR="008459D8">
        <w:t xml:space="preserve">  The discount rate does not use the Municipal Bond Index Rate.  The discount rate was reduced to 7.20% from 7.5% from the prior measurement period.</w:t>
      </w:r>
    </w:p>
    <w:p w:rsidR="00E200C2" w:rsidRDefault="00E200C2" w:rsidP="009721FC">
      <w:pPr>
        <w:autoSpaceDE w:val="0"/>
        <w:autoSpaceDN w:val="0"/>
        <w:adjustRightInd w:val="0"/>
        <w:spacing w:line="235" w:lineRule="auto"/>
        <w:jc w:val="both"/>
      </w:pPr>
    </w:p>
    <w:p w:rsidR="00E200C2" w:rsidRPr="005C637B" w:rsidRDefault="00E200C2" w:rsidP="00FE18A6">
      <w:pPr>
        <w:autoSpaceDE w:val="0"/>
        <w:autoSpaceDN w:val="0"/>
        <w:adjustRightInd w:val="0"/>
        <w:jc w:val="both"/>
      </w:pPr>
      <w:r w:rsidRPr="005C637B">
        <w:t>The following presents</w:t>
      </w:r>
      <w:r>
        <w:t xml:space="preserve"> </w:t>
      </w:r>
      <w:r w:rsidRPr="005C637B">
        <w:t xml:space="preserve">the proportionate share of the net pension </w:t>
      </w:r>
      <w:r w:rsidR="00536BFA">
        <w:t>(asset)/</w:t>
      </w:r>
      <w:r w:rsidRPr="005C637B">
        <w:t>liability calculated using the discount rate of 7.</w:t>
      </w:r>
      <w:r w:rsidR="00E17E60">
        <w:t>2</w:t>
      </w:r>
      <w:r w:rsidRPr="005C637B">
        <w:t>0</w:t>
      </w:r>
      <w:r w:rsidR="008459D8">
        <w:t>%</w:t>
      </w:r>
      <w:r w:rsidRPr="005C637B">
        <w:t>, as well as what the</w:t>
      </w:r>
      <w:r>
        <w:t xml:space="preserve"> </w:t>
      </w:r>
      <w:r w:rsidRPr="005C637B">
        <w:t xml:space="preserve">proportionate share of the net pension </w:t>
      </w:r>
      <w:r w:rsidR="00536BFA">
        <w:t>(asset)/</w:t>
      </w:r>
      <w:r w:rsidRPr="005C637B">
        <w:t>liability would be if it were calculated using a discount rate that is 1</w:t>
      </w:r>
      <w:r w:rsidR="00536BFA">
        <w:t xml:space="preserve"> </w:t>
      </w:r>
      <w:r w:rsidRPr="005C637B">
        <w:t>percentage</w:t>
      </w:r>
      <w:r w:rsidR="00536BFA">
        <w:t xml:space="preserve"> </w:t>
      </w:r>
      <w:r w:rsidRPr="005C637B">
        <w:t>point lower</w:t>
      </w:r>
      <w:r>
        <w:t xml:space="preserve"> </w:t>
      </w:r>
      <w:r w:rsidRPr="005C637B">
        <w:t>(6.</w:t>
      </w:r>
      <w:r w:rsidR="00E17E60">
        <w:t>2</w:t>
      </w:r>
      <w:r w:rsidRPr="005C637B">
        <w:t>0</w:t>
      </w:r>
      <w:r w:rsidR="008459D8">
        <w:t>%</w:t>
      </w:r>
      <w:r w:rsidRPr="005C637B">
        <w:t>) or 1</w:t>
      </w:r>
      <w:r w:rsidR="00536BFA">
        <w:t xml:space="preserve"> </w:t>
      </w:r>
      <w:r w:rsidRPr="005C637B">
        <w:t>percentage</w:t>
      </w:r>
      <w:r w:rsidR="00536BFA">
        <w:t xml:space="preserve"> </w:t>
      </w:r>
      <w:r w:rsidRPr="005C637B">
        <w:t>point higher (8.</w:t>
      </w:r>
      <w:r w:rsidR="00E17E60">
        <w:t>2</w:t>
      </w:r>
      <w:r w:rsidRPr="005C637B">
        <w:t>0</w:t>
      </w:r>
      <w:r w:rsidR="008459D8">
        <w:t>%</w:t>
      </w:r>
      <w:r w:rsidRPr="005C637B">
        <w:t>) than the current rate:</w:t>
      </w:r>
    </w:p>
    <w:p w:rsidR="009C415C" w:rsidRDefault="009C415C" w:rsidP="009C415C">
      <w:pPr>
        <w:autoSpaceDE w:val="0"/>
        <w:autoSpaceDN w:val="0"/>
        <w:adjustRightInd w:val="0"/>
        <w:spacing w:line="235" w:lineRule="auto"/>
        <w:ind w:left="990"/>
      </w:pPr>
    </w:p>
    <w:p w:rsidR="009C415C" w:rsidRDefault="00484E61" w:rsidP="00484E61">
      <w:pPr>
        <w:autoSpaceDE w:val="0"/>
        <w:autoSpaceDN w:val="0"/>
        <w:adjustRightInd w:val="0"/>
        <w:spacing w:line="235" w:lineRule="auto"/>
        <w:jc w:val="center"/>
      </w:pPr>
      <w:r w:rsidRPr="00484E61">
        <w:drawing>
          <wp:inline distT="0" distB="0" distL="0" distR="0">
            <wp:extent cx="5296535" cy="1924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96535" cy="1924050"/>
                    </a:xfrm>
                    <a:prstGeom prst="rect">
                      <a:avLst/>
                    </a:prstGeom>
                    <a:noFill/>
                    <a:ln>
                      <a:noFill/>
                    </a:ln>
                  </pic:spPr>
                </pic:pic>
              </a:graphicData>
            </a:graphic>
          </wp:inline>
        </w:drawing>
      </w:r>
    </w:p>
    <w:p w:rsidR="00E200C2" w:rsidRPr="005C637B" w:rsidRDefault="00E200C2" w:rsidP="00FE18A6">
      <w:pPr>
        <w:autoSpaceDE w:val="0"/>
        <w:autoSpaceDN w:val="0"/>
        <w:adjustRightInd w:val="0"/>
        <w:jc w:val="both"/>
      </w:pPr>
      <w:r w:rsidRPr="00FE18A6">
        <w:rPr>
          <w:spacing w:val="-2"/>
        </w:rPr>
        <w:t>Detailed</w:t>
      </w:r>
      <w:r w:rsidRPr="005C637B">
        <w:t xml:space="preserve"> information about the pension plan</w:t>
      </w:r>
      <w:r w:rsidR="00B34536">
        <w:t>’</w:t>
      </w:r>
      <w:r w:rsidRPr="005C637B">
        <w:t>s fiduciary net position is available in the</w:t>
      </w:r>
      <w:r>
        <w:t xml:space="preserve"> </w:t>
      </w:r>
      <w:r w:rsidR="00587997">
        <w:t>Systems</w:t>
      </w:r>
      <w:r w:rsidR="00B34536">
        <w:t>’</w:t>
      </w:r>
      <w:r w:rsidR="00587997">
        <w:t xml:space="preserve"> </w:t>
      </w:r>
      <w:r w:rsidRPr="005C637B">
        <w:t>separately issued financial report.</w:t>
      </w:r>
    </w:p>
    <w:p w:rsidR="0026307C" w:rsidRDefault="0026307C" w:rsidP="00FE18A6">
      <w:pPr>
        <w:autoSpaceDE w:val="0"/>
        <w:autoSpaceDN w:val="0"/>
        <w:adjustRightInd w:val="0"/>
        <w:jc w:val="both"/>
        <w:rPr>
          <w:b/>
          <w:u w:val="single"/>
        </w:rPr>
      </w:pPr>
    </w:p>
    <w:p w:rsidR="00E200C2" w:rsidRPr="008D3520" w:rsidRDefault="00E200C2" w:rsidP="00FE18A6">
      <w:pPr>
        <w:autoSpaceDE w:val="0"/>
        <w:autoSpaceDN w:val="0"/>
        <w:adjustRightInd w:val="0"/>
        <w:jc w:val="both"/>
        <w:rPr>
          <w:b/>
          <w:u w:val="single"/>
        </w:rPr>
      </w:pPr>
      <w:r w:rsidRPr="008D3520">
        <w:rPr>
          <w:b/>
          <w:u w:val="single"/>
        </w:rPr>
        <w:lastRenderedPageBreak/>
        <w:t>Defined Contribution Plans</w:t>
      </w:r>
    </w:p>
    <w:p w:rsidR="006B032F" w:rsidRDefault="006B032F" w:rsidP="00FE18A6">
      <w:pPr>
        <w:autoSpaceDE w:val="0"/>
        <w:autoSpaceDN w:val="0"/>
        <w:adjustRightInd w:val="0"/>
        <w:jc w:val="both"/>
      </w:pPr>
    </w:p>
    <w:p w:rsidR="004D7AC8" w:rsidRDefault="00C359ED" w:rsidP="00FE18A6">
      <w:pPr>
        <w:autoSpaceDE w:val="0"/>
        <w:autoSpaceDN w:val="0"/>
        <w:adjustRightInd w:val="0"/>
        <w:jc w:val="both"/>
      </w:pPr>
      <w:r w:rsidRPr="008D3520">
        <w:rPr>
          <w:spacing w:val="-2"/>
          <w:highlight w:val="yellow"/>
        </w:rPr>
        <w:t>[</w:t>
      </w:r>
      <w:r w:rsidR="008D3520" w:rsidRPr="008D3520">
        <w:rPr>
          <w:spacing w:val="-2"/>
          <w:highlight w:val="yellow"/>
        </w:rPr>
        <w:t>T</w:t>
      </w:r>
      <w:r w:rsidRPr="008D3520">
        <w:rPr>
          <w:spacing w:val="-2"/>
          <w:highlight w:val="yellow"/>
        </w:rPr>
        <w:t>he Entity]</w:t>
      </w:r>
      <w:r w:rsidR="001E1963" w:rsidRPr="006C782A">
        <w:t xml:space="preserve"> offers employees the choice between </w:t>
      </w:r>
      <w:r w:rsidR="001E1963">
        <w:t xml:space="preserve">the Systems </w:t>
      </w:r>
      <w:r w:rsidR="001E1963" w:rsidRPr="006C782A">
        <w:t xml:space="preserve">and </w:t>
      </w:r>
      <w:r w:rsidR="004D7AC8" w:rsidRPr="0066364B">
        <w:t xml:space="preserve">Teachers Insurance and Annuity Association </w:t>
      </w:r>
      <w:r w:rsidR="004D7AC8">
        <w:t>(</w:t>
      </w:r>
      <w:r w:rsidR="001E1963" w:rsidRPr="006C782A">
        <w:t>TIAA</w:t>
      </w:r>
      <w:r w:rsidR="004D7AC8">
        <w:t>)</w:t>
      </w:r>
      <w:r w:rsidR="001E1963" w:rsidRPr="006C782A">
        <w:t xml:space="preserve"> for individual retirement funds. </w:t>
      </w:r>
    </w:p>
    <w:p w:rsidR="004D7AC8" w:rsidRPr="00FE18A6" w:rsidRDefault="004D7AC8" w:rsidP="00FE18A6">
      <w:pPr>
        <w:autoSpaceDE w:val="0"/>
        <w:autoSpaceDN w:val="0"/>
        <w:adjustRightInd w:val="0"/>
        <w:jc w:val="both"/>
        <w:rPr>
          <w:spacing w:val="-2"/>
        </w:rPr>
      </w:pPr>
    </w:p>
    <w:p w:rsidR="001E1963" w:rsidRDefault="001E1963" w:rsidP="00FE18A6">
      <w:pPr>
        <w:autoSpaceDE w:val="0"/>
        <w:autoSpaceDN w:val="0"/>
        <w:adjustRightInd w:val="0"/>
        <w:jc w:val="both"/>
      </w:pPr>
      <w:r w:rsidRPr="00FE18A6">
        <w:rPr>
          <w:spacing w:val="-2"/>
        </w:rPr>
        <w:t xml:space="preserve">Employees who participate in the State and School Noncontributory and Tier 2 pension plans also participate in qualified contributory 401(k) and 457 savings plans administered by the Systems. </w:t>
      </w:r>
      <w:r w:rsidR="00F50234" w:rsidRPr="008D3520">
        <w:rPr>
          <w:spacing w:val="-2"/>
          <w:highlight w:val="yellow"/>
        </w:rPr>
        <w:t>[The Entity]</w:t>
      </w:r>
      <w:r w:rsidRPr="00FE18A6">
        <w:rPr>
          <w:spacing w:val="-2"/>
        </w:rPr>
        <w:t xml:space="preserve"> contributes 1.5% and 1.78%, respectively, of participating employees’ annual salaries to a 401(k) plan administered by the Systems. For employees participating in the Tier 2 Public Employees </w:t>
      </w:r>
      <w:r w:rsidR="00F50234" w:rsidRPr="00F50234">
        <w:rPr>
          <w:spacing w:val="-2"/>
          <w:highlight w:val="yellow"/>
        </w:rPr>
        <w:t>[and Tier 2 Public Safety and Firefighter]</w:t>
      </w:r>
      <w:r w:rsidR="00F50234">
        <w:rPr>
          <w:spacing w:val="-2"/>
        </w:rPr>
        <w:t xml:space="preserve"> </w:t>
      </w:r>
      <w:r w:rsidRPr="00FE18A6">
        <w:rPr>
          <w:spacing w:val="-2"/>
        </w:rPr>
        <w:t>defined contribution plan</w:t>
      </w:r>
      <w:r w:rsidR="00F50234" w:rsidRPr="00F50234">
        <w:rPr>
          <w:spacing w:val="-2"/>
          <w:highlight w:val="yellow"/>
        </w:rPr>
        <w:t>[s]</w:t>
      </w:r>
      <w:r w:rsidRPr="00FE18A6">
        <w:rPr>
          <w:spacing w:val="-2"/>
        </w:rPr>
        <w:t xml:space="preserve">, </w:t>
      </w:r>
      <w:r w:rsidR="00C359ED" w:rsidRPr="00F50234">
        <w:rPr>
          <w:spacing w:val="-2"/>
          <w:highlight w:val="yellow"/>
        </w:rPr>
        <w:t>[the Entity]</w:t>
      </w:r>
      <w:r w:rsidRPr="00FE18A6">
        <w:rPr>
          <w:spacing w:val="-2"/>
        </w:rPr>
        <w:t xml:space="preserve"> is required to contribute 20.02%</w:t>
      </w:r>
      <w:r w:rsidR="00F50234" w:rsidRPr="00F50234">
        <w:rPr>
          <w:spacing w:val="-2"/>
          <w:highlight w:val="yellow"/>
        </w:rPr>
        <w:t>[ and 30.54%</w:t>
      </w:r>
      <w:r w:rsidR="00F50234">
        <w:rPr>
          <w:spacing w:val="-2"/>
          <w:highlight w:val="yellow"/>
        </w:rPr>
        <w:t>, respectively</w:t>
      </w:r>
      <w:r w:rsidR="00F50234" w:rsidRPr="00F50234">
        <w:rPr>
          <w:spacing w:val="-2"/>
          <w:highlight w:val="yellow"/>
        </w:rPr>
        <w:t>]</w:t>
      </w:r>
      <w:r w:rsidRPr="00FE18A6">
        <w:rPr>
          <w:spacing w:val="-2"/>
        </w:rPr>
        <w:t xml:space="preserve"> of the employee’s salary, of which 10%</w:t>
      </w:r>
      <w:r w:rsidR="00F50234">
        <w:rPr>
          <w:spacing w:val="-2"/>
        </w:rPr>
        <w:t xml:space="preserve"> </w:t>
      </w:r>
      <w:r w:rsidR="00F50234" w:rsidRPr="00F50234">
        <w:rPr>
          <w:spacing w:val="-2"/>
          <w:highlight w:val="yellow"/>
        </w:rPr>
        <w:t>[</w:t>
      </w:r>
      <w:r w:rsidR="00F50234">
        <w:rPr>
          <w:spacing w:val="-2"/>
          <w:highlight w:val="yellow"/>
        </w:rPr>
        <w:t> </w:t>
      </w:r>
      <w:r w:rsidR="00F50234" w:rsidRPr="00F50234">
        <w:rPr>
          <w:spacing w:val="-2"/>
          <w:highlight w:val="yellow"/>
        </w:rPr>
        <w:t>and 12%</w:t>
      </w:r>
      <w:r w:rsidR="00F50234">
        <w:rPr>
          <w:spacing w:val="-2"/>
          <w:highlight w:val="yellow"/>
        </w:rPr>
        <w:t>, respectively</w:t>
      </w:r>
      <w:r w:rsidR="00F50234" w:rsidRPr="00F50234">
        <w:rPr>
          <w:spacing w:val="-2"/>
          <w:highlight w:val="yellow"/>
        </w:rPr>
        <w:t>]</w:t>
      </w:r>
      <w:r w:rsidR="00F50234">
        <w:rPr>
          <w:spacing w:val="-2"/>
        </w:rPr>
        <w:t xml:space="preserve"> </w:t>
      </w:r>
      <w:r w:rsidRPr="00FE18A6">
        <w:rPr>
          <w:spacing w:val="-2"/>
        </w:rPr>
        <w:t>is paid into the 401(k) or 457 plan while the remainder is contributed to the Tier 1 System</w:t>
      </w:r>
      <w:r w:rsidR="00F50234">
        <w:rPr>
          <w:spacing w:val="-2"/>
        </w:rPr>
        <w:t>s</w:t>
      </w:r>
      <w:r w:rsidRPr="00FE18A6">
        <w:rPr>
          <w:spacing w:val="-2"/>
        </w:rPr>
        <w:t>, as required by law. During t</w:t>
      </w:r>
      <w:r w:rsidRPr="006C782A">
        <w:t xml:space="preserve">he year ended June 30, </w:t>
      </w:r>
      <w:r w:rsidR="00252741">
        <w:t>2017</w:t>
      </w:r>
      <w:r w:rsidRPr="006C782A">
        <w:t xml:space="preserve">, </w:t>
      </w:r>
      <w:r w:rsidR="00C359ED" w:rsidRPr="00F50234">
        <w:rPr>
          <w:highlight w:val="yellow"/>
        </w:rPr>
        <w:t>[the Entity]</w:t>
      </w:r>
      <w:r w:rsidRPr="006C782A">
        <w:t>’s contribution</w:t>
      </w:r>
      <w:r w:rsidR="00E5727B">
        <w:t>s</w:t>
      </w:r>
      <w:r w:rsidRPr="006C782A">
        <w:t xml:space="preserve"> totaled $</w:t>
      </w:r>
      <w:r w:rsidR="00F50234" w:rsidRPr="00F50234">
        <w:rPr>
          <w:highlight w:val="yellow"/>
        </w:rPr>
        <w:t>xxx,xxx</w:t>
      </w:r>
      <w:r w:rsidRPr="006C782A">
        <w:t>, which was included in the pension expense, and the participating employees’ voluntary contributions totaled $</w:t>
      </w:r>
      <w:r w:rsidR="00F50234" w:rsidRPr="00F50234">
        <w:rPr>
          <w:highlight w:val="yellow"/>
        </w:rPr>
        <w:t>xxx,xxx</w:t>
      </w:r>
      <w:r w:rsidRPr="006C782A">
        <w:t xml:space="preserve">. Detailed information regarding plan provisions is available in the separately issued </w:t>
      </w:r>
      <w:r>
        <w:t>Utah Retirement Systems</w:t>
      </w:r>
      <w:r w:rsidRPr="006C782A">
        <w:t xml:space="preserve"> financial report.</w:t>
      </w:r>
    </w:p>
    <w:p w:rsidR="001E1963" w:rsidRPr="00FE18A6" w:rsidRDefault="001E1963" w:rsidP="00FE18A6">
      <w:pPr>
        <w:autoSpaceDE w:val="0"/>
        <w:autoSpaceDN w:val="0"/>
        <w:adjustRightInd w:val="0"/>
        <w:jc w:val="both"/>
        <w:rPr>
          <w:spacing w:val="-2"/>
        </w:rPr>
      </w:pPr>
    </w:p>
    <w:p w:rsidR="00E200C2" w:rsidRPr="00FE18A6" w:rsidRDefault="004D7AC8" w:rsidP="00FE18A6">
      <w:pPr>
        <w:autoSpaceDE w:val="0"/>
        <w:autoSpaceDN w:val="0"/>
        <w:adjustRightInd w:val="0"/>
        <w:jc w:val="both"/>
        <w:rPr>
          <w:spacing w:val="-2"/>
        </w:rPr>
      </w:pPr>
      <w:r w:rsidRPr="00FE18A6">
        <w:rPr>
          <w:spacing w:val="-2"/>
        </w:rPr>
        <w:t xml:space="preserve">TIAA </w:t>
      </w:r>
      <w:r w:rsidR="00E200C2" w:rsidRPr="00FE18A6">
        <w:rPr>
          <w:spacing w:val="-2"/>
        </w:rPr>
        <w:t>provide</w:t>
      </w:r>
      <w:r w:rsidRPr="00FE18A6">
        <w:rPr>
          <w:spacing w:val="-2"/>
        </w:rPr>
        <w:t>s</w:t>
      </w:r>
      <w:r w:rsidR="00E200C2" w:rsidRPr="00FE18A6">
        <w:rPr>
          <w:spacing w:val="-2"/>
        </w:rPr>
        <w:t xml:space="preserve"> individual retirement fund contracts with each participating employee.  </w:t>
      </w:r>
      <w:r w:rsidR="00F50234">
        <w:rPr>
          <w:spacing w:val="-2"/>
        </w:rPr>
        <w:t xml:space="preserve">Employees may allocate contributions by </w:t>
      </w:r>
      <w:r w:rsidR="00F50234" w:rsidRPr="00A01D04">
        <w:rPr>
          <w:spacing w:val="-2"/>
          <w:highlight w:val="yellow"/>
        </w:rPr>
        <w:t>[the Entity]</w:t>
      </w:r>
      <w:r w:rsidR="00F50234">
        <w:rPr>
          <w:spacing w:val="-2"/>
        </w:rPr>
        <w:t xml:space="preserve"> to the provider and the </w:t>
      </w:r>
      <w:r w:rsidR="00A01D04">
        <w:rPr>
          <w:spacing w:val="-2"/>
        </w:rPr>
        <w:t xml:space="preserve">contributions to the employee’s contract </w:t>
      </w:r>
      <w:r w:rsidR="00F50234">
        <w:rPr>
          <w:spacing w:val="-2"/>
        </w:rPr>
        <w:t xml:space="preserve">become vested at the time the contribution is made.  </w:t>
      </w:r>
      <w:r w:rsidR="00F50234" w:rsidRPr="00361670">
        <w:rPr>
          <w:spacing w:val="-2"/>
        </w:rPr>
        <w:t xml:space="preserve">Employees are eligible to participate in TIAA from the date of employment and are not required to contribute to the fund.  </w:t>
      </w:r>
      <w:r w:rsidR="00E200C2" w:rsidRPr="00FE18A6">
        <w:rPr>
          <w:spacing w:val="-2"/>
        </w:rPr>
        <w:t>Benefits provided to retired employees are generally based on the value of the individual contracts and the estimated life expectancy of the employee at retirement.</w:t>
      </w:r>
    </w:p>
    <w:p w:rsidR="00E200C2" w:rsidRPr="00FE18A6" w:rsidRDefault="00E200C2" w:rsidP="00FE18A6">
      <w:pPr>
        <w:autoSpaceDE w:val="0"/>
        <w:autoSpaceDN w:val="0"/>
        <w:adjustRightInd w:val="0"/>
        <w:jc w:val="both"/>
        <w:rPr>
          <w:spacing w:val="-2"/>
        </w:rPr>
      </w:pPr>
    </w:p>
    <w:p w:rsidR="00E200C2" w:rsidRPr="00361670" w:rsidRDefault="00E200C2" w:rsidP="00FE18A6">
      <w:pPr>
        <w:autoSpaceDE w:val="0"/>
        <w:autoSpaceDN w:val="0"/>
        <w:adjustRightInd w:val="0"/>
        <w:jc w:val="both"/>
        <w:rPr>
          <w:b/>
          <w:spacing w:val="-2"/>
        </w:rPr>
      </w:pPr>
      <w:r w:rsidRPr="00361670">
        <w:rPr>
          <w:spacing w:val="-2"/>
        </w:rPr>
        <w:t xml:space="preserve">For the year ended June 30, </w:t>
      </w:r>
      <w:r w:rsidR="00252741">
        <w:rPr>
          <w:spacing w:val="-2"/>
        </w:rPr>
        <w:t>2017</w:t>
      </w:r>
      <w:r w:rsidRPr="00361670">
        <w:rPr>
          <w:spacing w:val="-2"/>
        </w:rPr>
        <w:t xml:space="preserve">, </w:t>
      </w:r>
      <w:r w:rsidR="00C359ED" w:rsidRPr="001003E5">
        <w:rPr>
          <w:spacing w:val="-2"/>
          <w:highlight w:val="yellow"/>
        </w:rPr>
        <w:t>[the Entity]</w:t>
      </w:r>
      <w:r w:rsidRPr="00361670">
        <w:rPr>
          <w:spacing w:val="-2"/>
        </w:rPr>
        <w:t xml:space="preserve"> was required to contribute 14.2% of the employees</w:t>
      </w:r>
      <w:r w:rsidR="00B34536" w:rsidRPr="00361670">
        <w:rPr>
          <w:spacing w:val="-2"/>
        </w:rPr>
        <w:t>’</w:t>
      </w:r>
      <w:r w:rsidRPr="00361670">
        <w:rPr>
          <w:spacing w:val="-2"/>
        </w:rPr>
        <w:t xml:space="preserve"> annual covered salary to </w:t>
      </w:r>
      <w:r w:rsidR="004D7AC8" w:rsidRPr="00361670">
        <w:rPr>
          <w:spacing w:val="-2"/>
        </w:rPr>
        <w:t>this</w:t>
      </w:r>
      <w:r w:rsidRPr="00361670">
        <w:rPr>
          <w:spacing w:val="-2"/>
        </w:rPr>
        <w:t xml:space="preserve"> defined </w:t>
      </w:r>
      <w:r w:rsidR="004D7AC8" w:rsidRPr="00361670">
        <w:rPr>
          <w:spacing w:val="-2"/>
        </w:rPr>
        <w:t>contribution plan</w:t>
      </w:r>
      <w:r w:rsidRPr="00361670">
        <w:rPr>
          <w:spacing w:val="-2"/>
        </w:rPr>
        <w:t xml:space="preserve">.  </w:t>
      </w:r>
      <w:r w:rsidR="00C359ED" w:rsidRPr="001003E5">
        <w:rPr>
          <w:spacing w:val="-2"/>
          <w:highlight w:val="yellow"/>
        </w:rPr>
        <w:t>[</w:t>
      </w:r>
      <w:r w:rsidR="001003E5" w:rsidRPr="001003E5">
        <w:rPr>
          <w:spacing w:val="-2"/>
          <w:highlight w:val="yellow"/>
        </w:rPr>
        <w:t>T</w:t>
      </w:r>
      <w:r w:rsidR="00C359ED" w:rsidRPr="001003E5">
        <w:rPr>
          <w:spacing w:val="-2"/>
          <w:highlight w:val="yellow"/>
        </w:rPr>
        <w:t>he Entity]</w:t>
      </w:r>
      <w:r w:rsidR="00B34536" w:rsidRPr="00361670">
        <w:rPr>
          <w:spacing w:val="-2"/>
        </w:rPr>
        <w:t>’</w:t>
      </w:r>
      <w:r w:rsidRPr="00361670">
        <w:rPr>
          <w:spacing w:val="-2"/>
        </w:rPr>
        <w:t xml:space="preserve">s contributions for the years ended June 30, </w:t>
      </w:r>
      <w:r w:rsidR="00252741">
        <w:rPr>
          <w:spacing w:val="-2"/>
        </w:rPr>
        <w:t>2017</w:t>
      </w:r>
      <w:r w:rsidRPr="00361670">
        <w:rPr>
          <w:spacing w:val="-2"/>
        </w:rPr>
        <w:t xml:space="preserve"> were $</w:t>
      </w:r>
      <w:r w:rsidR="00710173" w:rsidRPr="00361670">
        <w:rPr>
          <w:spacing w:val="-2"/>
        </w:rPr>
        <w:t>402,079</w:t>
      </w:r>
      <w:r w:rsidRPr="00361670">
        <w:rPr>
          <w:spacing w:val="-2"/>
        </w:rPr>
        <w:t xml:space="preserve">.  </w:t>
      </w:r>
      <w:r w:rsidR="00C359ED" w:rsidRPr="001003E5">
        <w:rPr>
          <w:spacing w:val="-2"/>
          <w:highlight w:val="yellow"/>
        </w:rPr>
        <w:t>[</w:t>
      </w:r>
      <w:r w:rsidR="001003E5" w:rsidRPr="001003E5">
        <w:rPr>
          <w:spacing w:val="-2"/>
          <w:highlight w:val="yellow"/>
        </w:rPr>
        <w:t>T</w:t>
      </w:r>
      <w:r w:rsidR="00C359ED" w:rsidRPr="001003E5">
        <w:rPr>
          <w:spacing w:val="-2"/>
          <w:highlight w:val="yellow"/>
        </w:rPr>
        <w:t>he Entity]</w:t>
      </w:r>
      <w:r w:rsidRPr="00361670">
        <w:rPr>
          <w:spacing w:val="-2"/>
        </w:rPr>
        <w:t xml:space="preserve"> has no further liability once annual contributions are made.</w:t>
      </w:r>
    </w:p>
    <w:p w:rsidR="00E200C2" w:rsidRDefault="00E200C2" w:rsidP="00E200C2">
      <w:pPr>
        <w:tabs>
          <w:tab w:val="left" w:pos="360"/>
        </w:tabs>
        <w:jc w:val="both"/>
        <w:rPr>
          <w:color w:val="000000"/>
        </w:rPr>
      </w:pPr>
    </w:p>
    <w:p w:rsidR="00DF2DA2" w:rsidRDefault="00E87F1D" w:rsidP="00E200C2">
      <w:pPr>
        <w:tabs>
          <w:tab w:val="left" w:pos="360"/>
        </w:tabs>
        <w:jc w:val="both"/>
        <w:rPr>
          <w:color w:val="000000"/>
        </w:rPr>
      </w:pPr>
      <w:r>
        <w:rPr>
          <w:color w:val="000000"/>
        </w:rPr>
        <w:t>Employees can make additional contributions to defined contribution plans subject to limitations.  Contributions to the defined contribution plans for the fiscal year ended June 30, 2017, were as follows:</w:t>
      </w:r>
    </w:p>
    <w:p w:rsidR="00E87F1D" w:rsidRDefault="00E87F1D" w:rsidP="00E200C2">
      <w:pPr>
        <w:tabs>
          <w:tab w:val="left" w:pos="360"/>
        </w:tabs>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933"/>
        <w:gridCol w:w="1819"/>
      </w:tblGrid>
      <w:tr w:rsidR="00FA5F41" w:rsidRPr="00FA5F41" w:rsidTr="00FA5F41">
        <w:tblPrEx>
          <w:tblCellMar>
            <w:top w:w="0" w:type="dxa"/>
            <w:bottom w:w="0" w:type="dxa"/>
          </w:tblCellMar>
        </w:tblPrEx>
        <w:trPr>
          <w:trHeight w:val="305"/>
          <w:jc w:val="center"/>
        </w:trPr>
        <w:tc>
          <w:tcPr>
            <w:tcW w:w="2933" w:type="dxa"/>
            <w:vAlign w:val="bottom"/>
          </w:tcPr>
          <w:p w:rsidR="00FA5F41" w:rsidRPr="00FA5F41" w:rsidRDefault="00FA5F41">
            <w:pPr>
              <w:autoSpaceDE w:val="0"/>
              <w:autoSpaceDN w:val="0"/>
              <w:adjustRightInd w:val="0"/>
              <w:rPr>
                <w:b/>
                <w:bCs/>
                <w:color w:val="000000"/>
                <w:sz w:val="20"/>
                <w:szCs w:val="20"/>
              </w:rPr>
            </w:pPr>
            <w:r w:rsidRPr="00FA5F41">
              <w:rPr>
                <w:b/>
                <w:bCs/>
                <w:color w:val="000000"/>
                <w:sz w:val="20"/>
                <w:szCs w:val="20"/>
              </w:rPr>
              <w:t>401(k) Plan</w:t>
            </w:r>
          </w:p>
        </w:tc>
        <w:tc>
          <w:tcPr>
            <w:tcW w:w="1819" w:type="dxa"/>
            <w:vAlign w:val="bottom"/>
          </w:tcPr>
          <w:p w:rsidR="00FA5F41" w:rsidRPr="00FA5F41" w:rsidRDefault="00FA5F41" w:rsidP="00FA5F41">
            <w:pPr>
              <w:autoSpaceDE w:val="0"/>
              <w:autoSpaceDN w:val="0"/>
              <w:adjustRightInd w:val="0"/>
              <w:ind w:right="491"/>
              <w:jc w:val="right"/>
              <w:rPr>
                <w:bCs/>
                <w:color w:val="000000"/>
                <w:sz w:val="20"/>
                <w:szCs w:val="20"/>
              </w:rPr>
            </w:pPr>
          </w:p>
        </w:tc>
      </w:tr>
      <w:tr w:rsidR="00FA5F41" w:rsidRPr="00FA5F41" w:rsidTr="00FA5F41">
        <w:tblPrEx>
          <w:tblCellMar>
            <w:top w:w="0" w:type="dxa"/>
            <w:bottom w:w="0" w:type="dxa"/>
          </w:tblCellMar>
        </w:tblPrEx>
        <w:trPr>
          <w:trHeight w:val="290"/>
          <w:jc w:val="center"/>
        </w:trPr>
        <w:tc>
          <w:tcPr>
            <w:tcW w:w="2933" w:type="dxa"/>
            <w:vAlign w:val="bottom"/>
          </w:tcPr>
          <w:p w:rsidR="00FA5F41" w:rsidRPr="00FA5F41" w:rsidRDefault="00FA5F41">
            <w:pPr>
              <w:autoSpaceDE w:val="0"/>
              <w:autoSpaceDN w:val="0"/>
              <w:adjustRightInd w:val="0"/>
              <w:rPr>
                <w:color w:val="000000"/>
                <w:sz w:val="20"/>
                <w:szCs w:val="20"/>
              </w:rPr>
            </w:pPr>
            <w:r w:rsidRPr="00FA5F41">
              <w:rPr>
                <w:color w:val="000000"/>
                <w:sz w:val="20"/>
                <w:szCs w:val="20"/>
              </w:rPr>
              <w:t xml:space="preserve">   </w:t>
            </w:r>
            <w:r w:rsidRPr="00FA5F41">
              <w:rPr>
                <w:color w:val="000000"/>
                <w:sz w:val="20"/>
                <w:szCs w:val="20"/>
              </w:rPr>
              <w:t>Employer Contributions</w:t>
            </w:r>
          </w:p>
        </w:tc>
        <w:tc>
          <w:tcPr>
            <w:tcW w:w="1819" w:type="dxa"/>
            <w:vAlign w:val="bottom"/>
          </w:tcPr>
          <w:p w:rsidR="00FA5F41" w:rsidRPr="00FA5F41" w:rsidRDefault="00FA5F41" w:rsidP="00FA5F41">
            <w:pPr>
              <w:autoSpaceDE w:val="0"/>
              <w:autoSpaceDN w:val="0"/>
              <w:adjustRightInd w:val="0"/>
              <w:ind w:right="491"/>
              <w:jc w:val="right"/>
              <w:rPr>
                <w:color w:val="000000"/>
                <w:sz w:val="20"/>
                <w:szCs w:val="20"/>
                <w:highlight w:val="yellow"/>
              </w:rPr>
            </w:pPr>
            <w:r w:rsidRPr="00FA5F41">
              <w:rPr>
                <w:bCs/>
                <w:color w:val="000000"/>
                <w:sz w:val="20"/>
                <w:szCs w:val="20"/>
                <w:highlight w:val="yellow"/>
              </w:rPr>
              <w:t>$ xxx,xxx</w:t>
            </w:r>
          </w:p>
        </w:tc>
      </w:tr>
      <w:tr w:rsidR="00FA5F41" w:rsidRPr="00FA5F41" w:rsidTr="00FA5F41">
        <w:tblPrEx>
          <w:tblCellMar>
            <w:top w:w="0" w:type="dxa"/>
            <w:bottom w:w="0" w:type="dxa"/>
          </w:tblCellMar>
        </w:tblPrEx>
        <w:trPr>
          <w:trHeight w:val="290"/>
          <w:jc w:val="center"/>
        </w:trPr>
        <w:tc>
          <w:tcPr>
            <w:tcW w:w="2933" w:type="dxa"/>
            <w:vAlign w:val="bottom"/>
          </w:tcPr>
          <w:p w:rsidR="00FA5F41" w:rsidRPr="00FA5F41" w:rsidRDefault="00FA5F41">
            <w:pPr>
              <w:autoSpaceDE w:val="0"/>
              <w:autoSpaceDN w:val="0"/>
              <w:adjustRightInd w:val="0"/>
              <w:rPr>
                <w:color w:val="000000"/>
                <w:sz w:val="20"/>
                <w:szCs w:val="20"/>
              </w:rPr>
            </w:pPr>
            <w:r w:rsidRPr="00FA5F41">
              <w:rPr>
                <w:color w:val="000000"/>
                <w:sz w:val="20"/>
                <w:szCs w:val="20"/>
              </w:rPr>
              <w:t xml:space="preserve">   Employee Contributions</w:t>
            </w:r>
          </w:p>
        </w:tc>
        <w:tc>
          <w:tcPr>
            <w:tcW w:w="1819" w:type="dxa"/>
            <w:vAlign w:val="bottom"/>
          </w:tcPr>
          <w:p w:rsidR="00FA5F41" w:rsidRPr="00FA5F41" w:rsidRDefault="00FA5F41" w:rsidP="00FA5F41">
            <w:pPr>
              <w:autoSpaceDE w:val="0"/>
              <w:autoSpaceDN w:val="0"/>
              <w:adjustRightInd w:val="0"/>
              <w:ind w:right="491"/>
              <w:jc w:val="right"/>
              <w:rPr>
                <w:color w:val="000000"/>
                <w:sz w:val="20"/>
                <w:szCs w:val="20"/>
                <w:highlight w:val="yellow"/>
              </w:rPr>
            </w:pPr>
            <w:r w:rsidRPr="00FA5F41">
              <w:rPr>
                <w:bCs/>
                <w:color w:val="000000"/>
                <w:sz w:val="20"/>
                <w:szCs w:val="20"/>
                <w:highlight w:val="yellow"/>
              </w:rPr>
              <w:t>xxx,xxx</w:t>
            </w:r>
          </w:p>
        </w:tc>
      </w:tr>
      <w:tr w:rsidR="00FA5F41" w:rsidRPr="00FA5F41" w:rsidTr="00FA5F41">
        <w:tblPrEx>
          <w:tblCellMar>
            <w:top w:w="0" w:type="dxa"/>
            <w:bottom w:w="0" w:type="dxa"/>
          </w:tblCellMar>
        </w:tblPrEx>
        <w:trPr>
          <w:trHeight w:val="377"/>
          <w:jc w:val="center"/>
        </w:trPr>
        <w:tc>
          <w:tcPr>
            <w:tcW w:w="2933" w:type="dxa"/>
            <w:vAlign w:val="bottom"/>
          </w:tcPr>
          <w:p w:rsidR="00FA5F41" w:rsidRPr="00FA5F41" w:rsidRDefault="00FA5F41">
            <w:pPr>
              <w:autoSpaceDE w:val="0"/>
              <w:autoSpaceDN w:val="0"/>
              <w:adjustRightInd w:val="0"/>
              <w:rPr>
                <w:b/>
                <w:bCs/>
                <w:color w:val="000000"/>
                <w:sz w:val="20"/>
                <w:szCs w:val="20"/>
              </w:rPr>
            </w:pPr>
            <w:r w:rsidRPr="00FA5F41">
              <w:rPr>
                <w:b/>
                <w:bCs/>
                <w:color w:val="000000"/>
                <w:sz w:val="20"/>
                <w:szCs w:val="20"/>
              </w:rPr>
              <w:t>457 Plan</w:t>
            </w:r>
          </w:p>
        </w:tc>
        <w:tc>
          <w:tcPr>
            <w:tcW w:w="1819" w:type="dxa"/>
            <w:vAlign w:val="bottom"/>
          </w:tcPr>
          <w:p w:rsidR="00FA5F41" w:rsidRPr="00FA5F41" w:rsidRDefault="00FA5F41" w:rsidP="00FA5F41">
            <w:pPr>
              <w:autoSpaceDE w:val="0"/>
              <w:autoSpaceDN w:val="0"/>
              <w:adjustRightInd w:val="0"/>
              <w:ind w:right="491"/>
              <w:jc w:val="right"/>
              <w:rPr>
                <w:bCs/>
                <w:color w:val="000000"/>
                <w:sz w:val="20"/>
                <w:szCs w:val="20"/>
                <w:highlight w:val="yellow"/>
              </w:rPr>
            </w:pPr>
          </w:p>
        </w:tc>
      </w:tr>
      <w:tr w:rsidR="00FA5F41" w:rsidRPr="00FA5F41" w:rsidTr="00FA5F41">
        <w:tblPrEx>
          <w:tblCellMar>
            <w:top w:w="0" w:type="dxa"/>
            <w:bottom w:w="0" w:type="dxa"/>
          </w:tblCellMar>
        </w:tblPrEx>
        <w:trPr>
          <w:trHeight w:val="262"/>
          <w:jc w:val="center"/>
        </w:trPr>
        <w:tc>
          <w:tcPr>
            <w:tcW w:w="2933" w:type="dxa"/>
            <w:vAlign w:val="bottom"/>
          </w:tcPr>
          <w:p w:rsidR="00FA5F41" w:rsidRPr="00FA5F41" w:rsidRDefault="00FA5F41">
            <w:pPr>
              <w:autoSpaceDE w:val="0"/>
              <w:autoSpaceDN w:val="0"/>
              <w:adjustRightInd w:val="0"/>
              <w:rPr>
                <w:color w:val="000000"/>
                <w:sz w:val="20"/>
                <w:szCs w:val="20"/>
              </w:rPr>
            </w:pPr>
            <w:r w:rsidRPr="00FA5F41">
              <w:rPr>
                <w:color w:val="000000"/>
                <w:sz w:val="20"/>
                <w:szCs w:val="20"/>
              </w:rPr>
              <w:t xml:space="preserve">   </w:t>
            </w:r>
            <w:r w:rsidRPr="00FA5F41">
              <w:rPr>
                <w:color w:val="000000"/>
                <w:sz w:val="20"/>
                <w:szCs w:val="20"/>
              </w:rPr>
              <w:t>Employer Contributions</w:t>
            </w:r>
          </w:p>
        </w:tc>
        <w:tc>
          <w:tcPr>
            <w:tcW w:w="1819" w:type="dxa"/>
            <w:vAlign w:val="bottom"/>
          </w:tcPr>
          <w:p w:rsidR="00FA5F41" w:rsidRPr="00FA5F41" w:rsidRDefault="00FA5F41" w:rsidP="00FA5F41">
            <w:pPr>
              <w:autoSpaceDE w:val="0"/>
              <w:autoSpaceDN w:val="0"/>
              <w:adjustRightInd w:val="0"/>
              <w:ind w:right="491"/>
              <w:jc w:val="right"/>
              <w:rPr>
                <w:color w:val="000000"/>
                <w:sz w:val="20"/>
                <w:szCs w:val="20"/>
                <w:highlight w:val="yellow"/>
              </w:rPr>
            </w:pPr>
            <w:r w:rsidRPr="00FA5F41">
              <w:rPr>
                <w:bCs/>
                <w:color w:val="000000"/>
                <w:sz w:val="20"/>
                <w:szCs w:val="20"/>
                <w:highlight w:val="yellow"/>
              </w:rPr>
              <w:t>xxx,xxx</w:t>
            </w:r>
          </w:p>
        </w:tc>
      </w:tr>
      <w:tr w:rsidR="00FA5F41" w:rsidRPr="00FA5F41" w:rsidTr="00FA5F41">
        <w:tblPrEx>
          <w:tblCellMar>
            <w:top w:w="0" w:type="dxa"/>
            <w:bottom w:w="0" w:type="dxa"/>
          </w:tblCellMar>
        </w:tblPrEx>
        <w:trPr>
          <w:trHeight w:val="290"/>
          <w:jc w:val="center"/>
        </w:trPr>
        <w:tc>
          <w:tcPr>
            <w:tcW w:w="2933" w:type="dxa"/>
            <w:vAlign w:val="bottom"/>
          </w:tcPr>
          <w:p w:rsidR="00FA5F41" w:rsidRPr="00FA5F41" w:rsidRDefault="00FA5F41">
            <w:pPr>
              <w:autoSpaceDE w:val="0"/>
              <w:autoSpaceDN w:val="0"/>
              <w:adjustRightInd w:val="0"/>
              <w:rPr>
                <w:color w:val="000000"/>
                <w:sz w:val="20"/>
                <w:szCs w:val="20"/>
              </w:rPr>
            </w:pPr>
            <w:r w:rsidRPr="00FA5F41">
              <w:rPr>
                <w:color w:val="000000"/>
                <w:sz w:val="20"/>
                <w:szCs w:val="20"/>
              </w:rPr>
              <w:t xml:space="preserve">   </w:t>
            </w:r>
            <w:r w:rsidRPr="00FA5F41">
              <w:rPr>
                <w:color w:val="000000"/>
                <w:sz w:val="20"/>
                <w:szCs w:val="20"/>
              </w:rPr>
              <w:t>Employee Contributions</w:t>
            </w:r>
          </w:p>
        </w:tc>
        <w:tc>
          <w:tcPr>
            <w:tcW w:w="1819" w:type="dxa"/>
            <w:vAlign w:val="bottom"/>
          </w:tcPr>
          <w:p w:rsidR="00FA5F41" w:rsidRPr="00FA5F41" w:rsidRDefault="00FA5F41" w:rsidP="00FA5F41">
            <w:pPr>
              <w:autoSpaceDE w:val="0"/>
              <w:autoSpaceDN w:val="0"/>
              <w:adjustRightInd w:val="0"/>
              <w:ind w:right="491"/>
              <w:jc w:val="right"/>
              <w:rPr>
                <w:color w:val="000000"/>
                <w:sz w:val="20"/>
                <w:szCs w:val="20"/>
                <w:highlight w:val="yellow"/>
              </w:rPr>
            </w:pPr>
            <w:r w:rsidRPr="00FA5F41">
              <w:rPr>
                <w:bCs/>
                <w:color w:val="000000"/>
                <w:sz w:val="20"/>
                <w:szCs w:val="20"/>
                <w:highlight w:val="yellow"/>
              </w:rPr>
              <w:t>xxx,xxx</w:t>
            </w:r>
          </w:p>
        </w:tc>
      </w:tr>
      <w:tr w:rsidR="00FA5F41" w:rsidRPr="00FA5F41" w:rsidTr="00FA5F41">
        <w:tblPrEx>
          <w:tblCellMar>
            <w:top w:w="0" w:type="dxa"/>
            <w:bottom w:w="0" w:type="dxa"/>
          </w:tblCellMar>
        </w:tblPrEx>
        <w:trPr>
          <w:trHeight w:val="391"/>
          <w:jc w:val="center"/>
        </w:trPr>
        <w:tc>
          <w:tcPr>
            <w:tcW w:w="2933" w:type="dxa"/>
            <w:vAlign w:val="bottom"/>
          </w:tcPr>
          <w:p w:rsidR="00FA5F41" w:rsidRPr="00FA5F41" w:rsidRDefault="00FA5F41">
            <w:pPr>
              <w:autoSpaceDE w:val="0"/>
              <w:autoSpaceDN w:val="0"/>
              <w:adjustRightInd w:val="0"/>
              <w:rPr>
                <w:b/>
                <w:bCs/>
                <w:color w:val="000000"/>
                <w:sz w:val="20"/>
                <w:szCs w:val="20"/>
              </w:rPr>
            </w:pPr>
            <w:r w:rsidRPr="00FA5F41">
              <w:rPr>
                <w:b/>
                <w:bCs/>
                <w:color w:val="000000"/>
                <w:sz w:val="20"/>
                <w:szCs w:val="20"/>
              </w:rPr>
              <w:t>Roth IRA Plan</w:t>
            </w:r>
          </w:p>
        </w:tc>
        <w:tc>
          <w:tcPr>
            <w:tcW w:w="1819" w:type="dxa"/>
            <w:vAlign w:val="bottom"/>
          </w:tcPr>
          <w:p w:rsidR="00FA5F41" w:rsidRPr="00FA5F41" w:rsidRDefault="00FA5F41" w:rsidP="00FA5F41">
            <w:pPr>
              <w:autoSpaceDE w:val="0"/>
              <w:autoSpaceDN w:val="0"/>
              <w:adjustRightInd w:val="0"/>
              <w:ind w:right="491"/>
              <w:jc w:val="right"/>
              <w:rPr>
                <w:bCs/>
                <w:color w:val="000000"/>
                <w:sz w:val="20"/>
                <w:szCs w:val="20"/>
                <w:highlight w:val="yellow"/>
              </w:rPr>
            </w:pPr>
          </w:p>
        </w:tc>
      </w:tr>
      <w:tr w:rsidR="00FA5F41" w:rsidRPr="00FA5F41" w:rsidTr="00FA5F41">
        <w:tblPrEx>
          <w:tblCellMar>
            <w:top w:w="0" w:type="dxa"/>
            <w:bottom w:w="0" w:type="dxa"/>
          </w:tblCellMar>
        </w:tblPrEx>
        <w:trPr>
          <w:trHeight w:val="290"/>
          <w:jc w:val="center"/>
        </w:trPr>
        <w:tc>
          <w:tcPr>
            <w:tcW w:w="2933" w:type="dxa"/>
            <w:vAlign w:val="bottom"/>
          </w:tcPr>
          <w:p w:rsidR="00FA5F41" w:rsidRPr="00FA5F41" w:rsidRDefault="00FA5F41">
            <w:pPr>
              <w:autoSpaceDE w:val="0"/>
              <w:autoSpaceDN w:val="0"/>
              <w:adjustRightInd w:val="0"/>
              <w:rPr>
                <w:color w:val="000000"/>
                <w:sz w:val="20"/>
                <w:szCs w:val="20"/>
              </w:rPr>
            </w:pPr>
            <w:r w:rsidRPr="00FA5F41">
              <w:rPr>
                <w:color w:val="000000"/>
                <w:sz w:val="20"/>
                <w:szCs w:val="20"/>
              </w:rPr>
              <w:t xml:space="preserve">   </w:t>
            </w:r>
            <w:r w:rsidRPr="00FA5F41">
              <w:rPr>
                <w:color w:val="000000"/>
                <w:sz w:val="20"/>
                <w:szCs w:val="20"/>
              </w:rPr>
              <w:t>Employer Contributions</w:t>
            </w:r>
          </w:p>
        </w:tc>
        <w:tc>
          <w:tcPr>
            <w:tcW w:w="1819" w:type="dxa"/>
            <w:vAlign w:val="bottom"/>
          </w:tcPr>
          <w:p w:rsidR="00FA5F41" w:rsidRPr="00FA5F41" w:rsidRDefault="00FA5F41" w:rsidP="00FA5F41">
            <w:pPr>
              <w:tabs>
                <w:tab w:val="left" w:pos="1296"/>
              </w:tabs>
              <w:autoSpaceDE w:val="0"/>
              <w:autoSpaceDN w:val="0"/>
              <w:adjustRightInd w:val="0"/>
              <w:ind w:right="456"/>
              <w:jc w:val="right"/>
              <w:rPr>
                <w:color w:val="000000"/>
                <w:sz w:val="20"/>
                <w:szCs w:val="20"/>
                <w:highlight w:val="yellow"/>
              </w:rPr>
            </w:pPr>
            <w:r w:rsidRPr="00FA5F41">
              <w:rPr>
                <w:bCs/>
                <w:color w:val="000000"/>
                <w:sz w:val="20"/>
                <w:szCs w:val="20"/>
                <w:highlight w:val="yellow"/>
              </w:rPr>
              <w:t>xxx,xxx</w:t>
            </w:r>
          </w:p>
        </w:tc>
      </w:tr>
      <w:tr w:rsidR="00FA5F41" w:rsidRPr="00FA5F41" w:rsidTr="00FA5F41">
        <w:tblPrEx>
          <w:tblCellMar>
            <w:top w:w="0" w:type="dxa"/>
            <w:bottom w:w="0" w:type="dxa"/>
          </w:tblCellMar>
        </w:tblPrEx>
        <w:trPr>
          <w:trHeight w:val="290"/>
          <w:jc w:val="center"/>
        </w:trPr>
        <w:tc>
          <w:tcPr>
            <w:tcW w:w="2933" w:type="dxa"/>
            <w:vAlign w:val="bottom"/>
          </w:tcPr>
          <w:p w:rsidR="00FA5F41" w:rsidRPr="00FA5F41" w:rsidRDefault="00FA5F41">
            <w:pPr>
              <w:autoSpaceDE w:val="0"/>
              <w:autoSpaceDN w:val="0"/>
              <w:adjustRightInd w:val="0"/>
              <w:rPr>
                <w:color w:val="000000"/>
                <w:sz w:val="20"/>
                <w:szCs w:val="20"/>
              </w:rPr>
            </w:pPr>
            <w:r w:rsidRPr="00FA5F41">
              <w:rPr>
                <w:color w:val="000000"/>
                <w:sz w:val="20"/>
                <w:szCs w:val="20"/>
              </w:rPr>
              <w:t xml:space="preserve">   </w:t>
            </w:r>
            <w:r w:rsidRPr="00FA5F41">
              <w:rPr>
                <w:color w:val="000000"/>
                <w:sz w:val="20"/>
                <w:szCs w:val="20"/>
              </w:rPr>
              <w:t>Employee Contributions</w:t>
            </w:r>
          </w:p>
        </w:tc>
        <w:tc>
          <w:tcPr>
            <w:tcW w:w="1819" w:type="dxa"/>
            <w:vAlign w:val="bottom"/>
          </w:tcPr>
          <w:p w:rsidR="00FA5F41" w:rsidRPr="00FA5F41" w:rsidRDefault="00FA5F41" w:rsidP="00FA5F41">
            <w:pPr>
              <w:tabs>
                <w:tab w:val="left" w:pos="1296"/>
              </w:tabs>
              <w:autoSpaceDE w:val="0"/>
              <w:autoSpaceDN w:val="0"/>
              <w:adjustRightInd w:val="0"/>
              <w:ind w:right="456"/>
              <w:jc w:val="right"/>
              <w:rPr>
                <w:color w:val="000000"/>
                <w:sz w:val="20"/>
                <w:szCs w:val="20"/>
                <w:highlight w:val="yellow"/>
              </w:rPr>
            </w:pPr>
            <w:r w:rsidRPr="00FA5F41">
              <w:rPr>
                <w:bCs/>
                <w:color w:val="000000"/>
                <w:sz w:val="20"/>
                <w:szCs w:val="20"/>
                <w:highlight w:val="yellow"/>
              </w:rPr>
              <w:t>xxx,xxx</w:t>
            </w:r>
          </w:p>
        </w:tc>
      </w:tr>
    </w:tbl>
    <w:p w:rsidR="00086B93" w:rsidRDefault="00086B93" w:rsidP="00081DBA">
      <w:pPr>
        <w:jc w:val="both"/>
        <w:sectPr w:rsidR="00086B93" w:rsidSect="005E6444">
          <w:headerReference w:type="default" r:id="rId17"/>
          <w:footerReference w:type="default" r:id="rId18"/>
          <w:footerReference w:type="first" r:id="rId19"/>
          <w:pgSz w:w="12240" w:h="15840"/>
          <w:pgMar w:top="1260" w:right="1440" w:bottom="1080" w:left="1440" w:header="900" w:footer="461" w:gutter="0"/>
          <w:pgNumType w:start="12"/>
          <w:cols w:space="720"/>
          <w:noEndnote/>
          <w:docGrid w:linePitch="326"/>
        </w:sectPr>
      </w:pPr>
    </w:p>
    <w:p w:rsidR="0070547A" w:rsidRDefault="00F003A6" w:rsidP="00F003A6">
      <w:pPr>
        <w:jc w:val="center"/>
      </w:pPr>
      <w:r w:rsidRPr="00F003A6">
        <w:lastRenderedPageBreak/>
        <w:drawing>
          <wp:inline distT="0" distB="0" distL="0" distR="0">
            <wp:extent cx="6995480" cy="630291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06188" cy="6312558"/>
                    </a:xfrm>
                    <a:prstGeom prst="rect">
                      <a:avLst/>
                    </a:prstGeom>
                    <a:noFill/>
                    <a:ln>
                      <a:noFill/>
                    </a:ln>
                  </pic:spPr>
                </pic:pic>
              </a:graphicData>
            </a:graphic>
          </wp:inline>
        </w:drawing>
      </w:r>
    </w:p>
    <w:p w:rsidR="0070547A" w:rsidRPr="0070547A" w:rsidRDefault="00AF7F98" w:rsidP="00AF7F98">
      <w:pPr>
        <w:ind w:left="-630"/>
      </w:pPr>
      <w:bookmarkStart w:id="0" w:name="_GoBack"/>
      <w:r w:rsidRPr="00AF7F98">
        <w:drawing>
          <wp:inline distT="0" distB="0" distL="0" distR="0">
            <wp:extent cx="9122008" cy="6336856"/>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37714" cy="6347766"/>
                    </a:xfrm>
                    <a:prstGeom prst="rect">
                      <a:avLst/>
                    </a:prstGeom>
                    <a:noFill/>
                    <a:ln>
                      <a:noFill/>
                    </a:ln>
                  </pic:spPr>
                </pic:pic>
              </a:graphicData>
            </a:graphic>
          </wp:inline>
        </w:drawing>
      </w:r>
      <w:bookmarkEnd w:id="0"/>
    </w:p>
    <w:p w:rsidR="00086B93" w:rsidRPr="0070547A" w:rsidRDefault="0070547A" w:rsidP="0070547A">
      <w:pPr>
        <w:tabs>
          <w:tab w:val="left" w:pos="5589"/>
        </w:tabs>
      </w:pPr>
      <w:r>
        <w:tab/>
      </w:r>
    </w:p>
    <w:sectPr w:rsidR="00086B93" w:rsidRPr="0070547A" w:rsidSect="0070547A">
      <w:headerReference w:type="default" r:id="rId22"/>
      <w:footerReference w:type="default" r:id="rId23"/>
      <w:pgSz w:w="15840" w:h="12240" w:orient="landscape"/>
      <w:pgMar w:top="1440" w:right="1440" w:bottom="1440" w:left="1350" w:header="900" w:footer="35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27B" w:rsidRDefault="00E5727B">
      <w:r>
        <w:separator/>
      </w:r>
    </w:p>
  </w:endnote>
  <w:endnote w:type="continuationSeparator" w:id="0">
    <w:p w:rsidR="00E5727B" w:rsidRDefault="00E5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27B" w:rsidRPr="000F216A" w:rsidRDefault="00E5727B" w:rsidP="00E3745A">
    <w:pPr>
      <w:pStyle w:val="Footer"/>
      <w:jc w:val="center"/>
      <w:rPr>
        <w:sz w:val="20"/>
        <w:szCs w:val="20"/>
      </w:rPr>
    </w:pPr>
    <w:r w:rsidRPr="000F216A">
      <w:rPr>
        <w:rStyle w:val="PageNumber"/>
        <w:sz w:val="20"/>
        <w:szCs w:val="20"/>
      </w:rPr>
      <w:fldChar w:fldCharType="begin"/>
    </w:r>
    <w:r w:rsidRPr="000F216A">
      <w:rPr>
        <w:rStyle w:val="PageNumber"/>
        <w:sz w:val="20"/>
        <w:szCs w:val="20"/>
      </w:rPr>
      <w:instrText xml:space="preserve"> PAGE </w:instrText>
    </w:r>
    <w:r w:rsidRPr="000F216A">
      <w:rPr>
        <w:rStyle w:val="PageNumber"/>
        <w:sz w:val="20"/>
        <w:szCs w:val="20"/>
      </w:rPr>
      <w:fldChar w:fldCharType="separate"/>
    </w:r>
    <w:r w:rsidR="00755D4B">
      <w:rPr>
        <w:rStyle w:val="PageNumber"/>
        <w:noProof/>
        <w:sz w:val="20"/>
        <w:szCs w:val="20"/>
      </w:rPr>
      <w:t>18</w:t>
    </w:r>
    <w:r w:rsidRPr="000F216A">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329949"/>
      <w:docPartObj>
        <w:docPartGallery w:val="Page Numbers (Bottom of Page)"/>
        <w:docPartUnique/>
      </w:docPartObj>
    </w:sdtPr>
    <w:sdtEndPr>
      <w:rPr>
        <w:noProof/>
      </w:rPr>
    </w:sdtEndPr>
    <w:sdtContent>
      <w:p w:rsidR="00E5727B" w:rsidRPr="0070547A" w:rsidRDefault="0070547A" w:rsidP="0070547A">
        <w:pPr>
          <w:pStyle w:val="Footer"/>
          <w:jc w:val="center"/>
        </w:pPr>
        <w:r>
          <w:fldChar w:fldCharType="begin"/>
        </w:r>
        <w:r>
          <w:instrText xml:space="preserve"> PAGE   \* MERGEFORMAT </w:instrText>
        </w:r>
        <w:r>
          <w:fldChar w:fldCharType="separate"/>
        </w:r>
        <w:r w:rsidR="00755D4B" w:rsidRPr="00755D4B">
          <w:rPr>
            <w:noProof/>
            <w:sz w:val="20"/>
            <w:szCs w:val="20"/>
          </w:rPr>
          <w:t>19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27B" w:rsidRPr="000F216A" w:rsidRDefault="00E5727B" w:rsidP="00E3745A">
    <w:pPr>
      <w:pStyle w:val="Footer"/>
      <w:jc w:val="center"/>
      <w:rPr>
        <w:sz w:val="20"/>
        <w:szCs w:val="20"/>
      </w:rPr>
    </w:pPr>
    <w:r w:rsidRPr="000F216A">
      <w:rPr>
        <w:rStyle w:val="PageNumber"/>
        <w:sz w:val="20"/>
        <w:szCs w:val="20"/>
      </w:rPr>
      <w:fldChar w:fldCharType="begin"/>
    </w:r>
    <w:r w:rsidRPr="000F216A">
      <w:rPr>
        <w:rStyle w:val="PageNumber"/>
        <w:sz w:val="20"/>
        <w:szCs w:val="20"/>
      </w:rPr>
      <w:instrText xml:space="preserve"> PAGE </w:instrText>
    </w:r>
    <w:r w:rsidRPr="000F216A">
      <w:rPr>
        <w:rStyle w:val="PageNumber"/>
        <w:sz w:val="20"/>
        <w:szCs w:val="20"/>
      </w:rPr>
      <w:fldChar w:fldCharType="separate"/>
    </w:r>
    <w:r w:rsidR="00755D4B">
      <w:rPr>
        <w:rStyle w:val="PageNumber"/>
        <w:noProof/>
        <w:sz w:val="20"/>
        <w:szCs w:val="20"/>
      </w:rPr>
      <w:t>21</w:t>
    </w:r>
    <w:r w:rsidRPr="000F216A">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27B" w:rsidRDefault="00E5727B">
      <w:r>
        <w:separator/>
      </w:r>
    </w:p>
  </w:footnote>
  <w:footnote w:type="continuationSeparator" w:id="0">
    <w:p w:rsidR="00E5727B" w:rsidRDefault="00E57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27B" w:rsidRPr="00FA5311" w:rsidRDefault="00E5727B" w:rsidP="00124AA4">
    <w:pPr>
      <w:tabs>
        <w:tab w:val="center" w:pos="4680"/>
        <w:tab w:val="right" w:pos="9360"/>
      </w:tabs>
    </w:pPr>
    <w:r>
      <w:tab/>
    </w:r>
  </w:p>
  <w:p w:rsidR="00E5727B" w:rsidRPr="00FA5311" w:rsidRDefault="00E5727B" w:rsidP="00124AA4">
    <w:pPr>
      <w:pStyle w:val="Head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27B" w:rsidRPr="00755D4B" w:rsidRDefault="00E5727B" w:rsidP="00797AB0">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53B39"/>
    <w:multiLevelType w:val="hybridMultilevel"/>
    <w:tmpl w:val="73B2D50A"/>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 w15:restartNumberingAfterBreak="0">
    <w:nsid w:val="0DEC40A6"/>
    <w:multiLevelType w:val="hybridMultilevel"/>
    <w:tmpl w:val="E49C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C5996"/>
    <w:multiLevelType w:val="hybridMultilevel"/>
    <w:tmpl w:val="D84C5ABC"/>
    <w:lvl w:ilvl="0" w:tplc="C2A60132">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444D0F13"/>
    <w:multiLevelType w:val="hybridMultilevel"/>
    <w:tmpl w:val="0632FEF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9089" style="mso-position-horizontal:center"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
  <w:rsids>
    <w:rsidRoot w:val="00344D71"/>
    <w:rsid w:val="0000134B"/>
    <w:rsid w:val="00002BFB"/>
    <w:rsid w:val="00003C53"/>
    <w:rsid w:val="00003E1A"/>
    <w:rsid w:val="0000471A"/>
    <w:rsid w:val="00004DAC"/>
    <w:rsid w:val="00005509"/>
    <w:rsid w:val="000061BB"/>
    <w:rsid w:val="0001053E"/>
    <w:rsid w:val="00010CB1"/>
    <w:rsid w:val="0001202B"/>
    <w:rsid w:val="00012C44"/>
    <w:rsid w:val="00013834"/>
    <w:rsid w:val="0001409A"/>
    <w:rsid w:val="00015241"/>
    <w:rsid w:val="00016CC4"/>
    <w:rsid w:val="00017BE1"/>
    <w:rsid w:val="00017BFA"/>
    <w:rsid w:val="00017CD6"/>
    <w:rsid w:val="00020FB8"/>
    <w:rsid w:val="000227E6"/>
    <w:rsid w:val="00023FD9"/>
    <w:rsid w:val="000274F4"/>
    <w:rsid w:val="00030949"/>
    <w:rsid w:val="00032667"/>
    <w:rsid w:val="00033131"/>
    <w:rsid w:val="0003472C"/>
    <w:rsid w:val="00034FB7"/>
    <w:rsid w:val="00035F0C"/>
    <w:rsid w:val="00036317"/>
    <w:rsid w:val="00036A6F"/>
    <w:rsid w:val="00040493"/>
    <w:rsid w:val="00042DE0"/>
    <w:rsid w:val="00042EB5"/>
    <w:rsid w:val="000435DB"/>
    <w:rsid w:val="00043B06"/>
    <w:rsid w:val="0004548A"/>
    <w:rsid w:val="000459C2"/>
    <w:rsid w:val="00045B22"/>
    <w:rsid w:val="00046BD5"/>
    <w:rsid w:val="00046F15"/>
    <w:rsid w:val="00050366"/>
    <w:rsid w:val="00051DD3"/>
    <w:rsid w:val="0005313F"/>
    <w:rsid w:val="00054075"/>
    <w:rsid w:val="00054DF4"/>
    <w:rsid w:val="00054FD4"/>
    <w:rsid w:val="000560AB"/>
    <w:rsid w:val="000560F8"/>
    <w:rsid w:val="00056DD2"/>
    <w:rsid w:val="0006076B"/>
    <w:rsid w:val="00062F31"/>
    <w:rsid w:val="000649BA"/>
    <w:rsid w:val="000656CD"/>
    <w:rsid w:val="0006584F"/>
    <w:rsid w:val="00066B1E"/>
    <w:rsid w:val="00066D86"/>
    <w:rsid w:val="000672F0"/>
    <w:rsid w:val="000679E9"/>
    <w:rsid w:val="00067F44"/>
    <w:rsid w:val="00070950"/>
    <w:rsid w:val="00070A2C"/>
    <w:rsid w:val="00071692"/>
    <w:rsid w:val="000727A8"/>
    <w:rsid w:val="000738BE"/>
    <w:rsid w:val="00074F39"/>
    <w:rsid w:val="000752B5"/>
    <w:rsid w:val="00077398"/>
    <w:rsid w:val="00077C18"/>
    <w:rsid w:val="00080934"/>
    <w:rsid w:val="00080F43"/>
    <w:rsid w:val="0008175D"/>
    <w:rsid w:val="00081DBA"/>
    <w:rsid w:val="000833E1"/>
    <w:rsid w:val="0008366A"/>
    <w:rsid w:val="00083E3B"/>
    <w:rsid w:val="00085319"/>
    <w:rsid w:val="00086786"/>
    <w:rsid w:val="00086B93"/>
    <w:rsid w:val="00087185"/>
    <w:rsid w:val="00087A83"/>
    <w:rsid w:val="000902C1"/>
    <w:rsid w:val="00090988"/>
    <w:rsid w:val="0009126C"/>
    <w:rsid w:val="000919CA"/>
    <w:rsid w:val="00091C3F"/>
    <w:rsid w:val="000939C7"/>
    <w:rsid w:val="00093D72"/>
    <w:rsid w:val="000979E6"/>
    <w:rsid w:val="00097FE6"/>
    <w:rsid w:val="000A33AB"/>
    <w:rsid w:val="000A43F3"/>
    <w:rsid w:val="000A613A"/>
    <w:rsid w:val="000A6C03"/>
    <w:rsid w:val="000B1810"/>
    <w:rsid w:val="000B1A57"/>
    <w:rsid w:val="000B1CB1"/>
    <w:rsid w:val="000B29B3"/>
    <w:rsid w:val="000B2E6A"/>
    <w:rsid w:val="000B423B"/>
    <w:rsid w:val="000B4741"/>
    <w:rsid w:val="000B7700"/>
    <w:rsid w:val="000C00F0"/>
    <w:rsid w:val="000C0E25"/>
    <w:rsid w:val="000C16C2"/>
    <w:rsid w:val="000C29F3"/>
    <w:rsid w:val="000C647B"/>
    <w:rsid w:val="000C6575"/>
    <w:rsid w:val="000C6FB1"/>
    <w:rsid w:val="000C6FB6"/>
    <w:rsid w:val="000C71AD"/>
    <w:rsid w:val="000C75F1"/>
    <w:rsid w:val="000C7FD6"/>
    <w:rsid w:val="000D05AD"/>
    <w:rsid w:val="000D266E"/>
    <w:rsid w:val="000D276C"/>
    <w:rsid w:val="000D2B71"/>
    <w:rsid w:val="000D3281"/>
    <w:rsid w:val="000D42F9"/>
    <w:rsid w:val="000D5502"/>
    <w:rsid w:val="000D566E"/>
    <w:rsid w:val="000D64C4"/>
    <w:rsid w:val="000D7AF6"/>
    <w:rsid w:val="000D7C0E"/>
    <w:rsid w:val="000E0171"/>
    <w:rsid w:val="000E2BA2"/>
    <w:rsid w:val="000E309A"/>
    <w:rsid w:val="000E35ED"/>
    <w:rsid w:val="000E4241"/>
    <w:rsid w:val="000E5329"/>
    <w:rsid w:val="000E5A3A"/>
    <w:rsid w:val="000E68D1"/>
    <w:rsid w:val="000E74AE"/>
    <w:rsid w:val="000F0204"/>
    <w:rsid w:val="000F0B98"/>
    <w:rsid w:val="000F1CB1"/>
    <w:rsid w:val="000F216A"/>
    <w:rsid w:val="000F2313"/>
    <w:rsid w:val="000F23F1"/>
    <w:rsid w:val="000F2881"/>
    <w:rsid w:val="000F40CF"/>
    <w:rsid w:val="000F51F5"/>
    <w:rsid w:val="000F5C2F"/>
    <w:rsid w:val="000F5ED4"/>
    <w:rsid w:val="000F7005"/>
    <w:rsid w:val="001003E5"/>
    <w:rsid w:val="00100AED"/>
    <w:rsid w:val="00100CFB"/>
    <w:rsid w:val="001042A8"/>
    <w:rsid w:val="0010460E"/>
    <w:rsid w:val="00105162"/>
    <w:rsid w:val="00105429"/>
    <w:rsid w:val="0010560A"/>
    <w:rsid w:val="00105A89"/>
    <w:rsid w:val="00105AE7"/>
    <w:rsid w:val="00106618"/>
    <w:rsid w:val="00106BAE"/>
    <w:rsid w:val="00107B1A"/>
    <w:rsid w:val="00107BFA"/>
    <w:rsid w:val="001105EA"/>
    <w:rsid w:val="001107FA"/>
    <w:rsid w:val="00111E66"/>
    <w:rsid w:val="0011276B"/>
    <w:rsid w:val="00114FB3"/>
    <w:rsid w:val="001150F4"/>
    <w:rsid w:val="00115D55"/>
    <w:rsid w:val="00116AFA"/>
    <w:rsid w:val="00117150"/>
    <w:rsid w:val="0012251C"/>
    <w:rsid w:val="00123670"/>
    <w:rsid w:val="001237CE"/>
    <w:rsid w:val="00123CAF"/>
    <w:rsid w:val="0012474E"/>
    <w:rsid w:val="00124AA4"/>
    <w:rsid w:val="00124EBE"/>
    <w:rsid w:val="0012500F"/>
    <w:rsid w:val="001255ED"/>
    <w:rsid w:val="00126239"/>
    <w:rsid w:val="00126283"/>
    <w:rsid w:val="0012659E"/>
    <w:rsid w:val="0012790C"/>
    <w:rsid w:val="0013204C"/>
    <w:rsid w:val="00133193"/>
    <w:rsid w:val="00134375"/>
    <w:rsid w:val="001345AE"/>
    <w:rsid w:val="00135F9F"/>
    <w:rsid w:val="001362D1"/>
    <w:rsid w:val="001363CE"/>
    <w:rsid w:val="0013722D"/>
    <w:rsid w:val="00137708"/>
    <w:rsid w:val="00137BD4"/>
    <w:rsid w:val="00140396"/>
    <w:rsid w:val="001412A4"/>
    <w:rsid w:val="0014187E"/>
    <w:rsid w:val="00141AE9"/>
    <w:rsid w:val="00142406"/>
    <w:rsid w:val="00142F07"/>
    <w:rsid w:val="00143111"/>
    <w:rsid w:val="00143F6B"/>
    <w:rsid w:val="00144EB4"/>
    <w:rsid w:val="00146400"/>
    <w:rsid w:val="0015044E"/>
    <w:rsid w:val="0015125C"/>
    <w:rsid w:val="001519C7"/>
    <w:rsid w:val="00153CD4"/>
    <w:rsid w:val="00153FE2"/>
    <w:rsid w:val="00155502"/>
    <w:rsid w:val="00156206"/>
    <w:rsid w:val="0015691C"/>
    <w:rsid w:val="001578DC"/>
    <w:rsid w:val="00160844"/>
    <w:rsid w:val="0016384F"/>
    <w:rsid w:val="00165F62"/>
    <w:rsid w:val="00165FB4"/>
    <w:rsid w:val="001670F7"/>
    <w:rsid w:val="00170F8B"/>
    <w:rsid w:val="00171F58"/>
    <w:rsid w:val="00172C0E"/>
    <w:rsid w:val="00172EE0"/>
    <w:rsid w:val="00173A6F"/>
    <w:rsid w:val="001742DF"/>
    <w:rsid w:val="001757A9"/>
    <w:rsid w:val="0017614A"/>
    <w:rsid w:val="00176FC9"/>
    <w:rsid w:val="00177D4E"/>
    <w:rsid w:val="00182ADC"/>
    <w:rsid w:val="001835CF"/>
    <w:rsid w:val="00183754"/>
    <w:rsid w:val="001839EC"/>
    <w:rsid w:val="00184000"/>
    <w:rsid w:val="001850F3"/>
    <w:rsid w:val="001857C1"/>
    <w:rsid w:val="00185C6C"/>
    <w:rsid w:val="0018651B"/>
    <w:rsid w:val="00186590"/>
    <w:rsid w:val="00191F66"/>
    <w:rsid w:val="001924EC"/>
    <w:rsid w:val="00192830"/>
    <w:rsid w:val="001952E1"/>
    <w:rsid w:val="00195AC4"/>
    <w:rsid w:val="00196D57"/>
    <w:rsid w:val="00197E33"/>
    <w:rsid w:val="001A1997"/>
    <w:rsid w:val="001A248A"/>
    <w:rsid w:val="001A27F8"/>
    <w:rsid w:val="001A2852"/>
    <w:rsid w:val="001A3056"/>
    <w:rsid w:val="001A400D"/>
    <w:rsid w:val="001A4A01"/>
    <w:rsid w:val="001A6FF7"/>
    <w:rsid w:val="001B09F3"/>
    <w:rsid w:val="001B1345"/>
    <w:rsid w:val="001B1A4A"/>
    <w:rsid w:val="001B3CE0"/>
    <w:rsid w:val="001B3FD7"/>
    <w:rsid w:val="001B5588"/>
    <w:rsid w:val="001B57E9"/>
    <w:rsid w:val="001B5CE1"/>
    <w:rsid w:val="001B64A9"/>
    <w:rsid w:val="001B6B76"/>
    <w:rsid w:val="001B6CED"/>
    <w:rsid w:val="001B7140"/>
    <w:rsid w:val="001C04B0"/>
    <w:rsid w:val="001C12F6"/>
    <w:rsid w:val="001C28CE"/>
    <w:rsid w:val="001C39C9"/>
    <w:rsid w:val="001C5430"/>
    <w:rsid w:val="001C606C"/>
    <w:rsid w:val="001C6C5D"/>
    <w:rsid w:val="001C7162"/>
    <w:rsid w:val="001D0AE7"/>
    <w:rsid w:val="001D1804"/>
    <w:rsid w:val="001D2E17"/>
    <w:rsid w:val="001D329A"/>
    <w:rsid w:val="001D33ED"/>
    <w:rsid w:val="001D44CA"/>
    <w:rsid w:val="001D498F"/>
    <w:rsid w:val="001D7176"/>
    <w:rsid w:val="001D71E2"/>
    <w:rsid w:val="001D76D6"/>
    <w:rsid w:val="001D7DFC"/>
    <w:rsid w:val="001E0BAC"/>
    <w:rsid w:val="001E1963"/>
    <w:rsid w:val="001E3749"/>
    <w:rsid w:val="001E4946"/>
    <w:rsid w:val="001E49E1"/>
    <w:rsid w:val="001E6F13"/>
    <w:rsid w:val="001E71DA"/>
    <w:rsid w:val="001E78CB"/>
    <w:rsid w:val="001F0813"/>
    <w:rsid w:val="001F16C9"/>
    <w:rsid w:val="001F1708"/>
    <w:rsid w:val="001F1998"/>
    <w:rsid w:val="001F2120"/>
    <w:rsid w:val="001F54BA"/>
    <w:rsid w:val="002015BD"/>
    <w:rsid w:val="002037EB"/>
    <w:rsid w:val="00203BE6"/>
    <w:rsid w:val="00204CEA"/>
    <w:rsid w:val="00205265"/>
    <w:rsid w:val="00207D03"/>
    <w:rsid w:val="00207D96"/>
    <w:rsid w:val="00211445"/>
    <w:rsid w:val="002115D3"/>
    <w:rsid w:val="00211966"/>
    <w:rsid w:val="00211E4A"/>
    <w:rsid w:val="00212719"/>
    <w:rsid w:val="002129FE"/>
    <w:rsid w:val="00214FE5"/>
    <w:rsid w:val="00215525"/>
    <w:rsid w:val="002155A8"/>
    <w:rsid w:val="00217C0F"/>
    <w:rsid w:val="00222BFD"/>
    <w:rsid w:val="0022419C"/>
    <w:rsid w:val="002247AF"/>
    <w:rsid w:val="00225997"/>
    <w:rsid w:val="00227912"/>
    <w:rsid w:val="00231AEC"/>
    <w:rsid w:val="002333E2"/>
    <w:rsid w:val="002342D4"/>
    <w:rsid w:val="002346BB"/>
    <w:rsid w:val="0023492A"/>
    <w:rsid w:val="00234E93"/>
    <w:rsid w:val="002373B1"/>
    <w:rsid w:val="002376D3"/>
    <w:rsid w:val="00237EE8"/>
    <w:rsid w:val="0024073C"/>
    <w:rsid w:val="00240D8E"/>
    <w:rsid w:val="0024141D"/>
    <w:rsid w:val="00245D4A"/>
    <w:rsid w:val="00245F6E"/>
    <w:rsid w:val="00246818"/>
    <w:rsid w:val="0024695D"/>
    <w:rsid w:val="002506C7"/>
    <w:rsid w:val="002507E4"/>
    <w:rsid w:val="00250A31"/>
    <w:rsid w:val="00250CC5"/>
    <w:rsid w:val="002519D0"/>
    <w:rsid w:val="00252741"/>
    <w:rsid w:val="0025277A"/>
    <w:rsid w:val="00252C62"/>
    <w:rsid w:val="00252DC0"/>
    <w:rsid w:val="00254FAF"/>
    <w:rsid w:val="0025571B"/>
    <w:rsid w:val="002564D0"/>
    <w:rsid w:val="002608CB"/>
    <w:rsid w:val="002609D7"/>
    <w:rsid w:val="00260D3B"/>
    <w:rsid w:val="00261AD8"/>
    <w:rsid w:val="0026307C"/>
    <w:rsid w:val="0026412A"/>
    <w:rsid w:val="002643A1"/>
    <w:rsid w:val="00264FF2"/>
    <w:rsid w:val="002662E6"/>
    <w:rsid w:val="00266805"/>
    <w:rsid w:val="00267171"/>
    <w:rsid w:val="00267259"/>
    <w:rsid w:val="00267818"/>
    <w:rsid w:val="00267F7D"/>
    <w:rsid w:val="002706D8"/>
    <w:rsid w:val="00270745"/>
    <w:rsid w:val="00272104"/>
    <w:rsid w:val="00272229"/>
    <w:rsid w:val="00272846"/>
    <w:rsid w:val="002729A7"/>
    <w:rsid w:val="00272A01"/>
    <w:rsid w:val="0027447A"/>
    <w:rsid w:val="002749F0"/>
    <w:rsid w:val="00274FB9"/>
    <w:rsid w:val="00275491"/>
    <w:rsid w:val="00275800"/>
    <w:rsid w:val="0027653C"/>
    <w:rsid w:val="0028097D"/>
    <w:rsid w:val="00280E5F"/>
    <w:rsid w:val="002810C7"/>
    <w:rsid w:val="00282DD5"/>
    <w:rsid w:val="00283125"/>
    <w:rsid w:val="0028323D"/>
    <w:rsid w:val="00285563"/>
    <w:rsid w:val="00285F72"/>
    <w:rsid w:val="002865C6"/>
    <w:rsid w:val="00286869"/>
    <w:rsid w:val="00287BEF"/>
    <w:rsid w:val="00290AD3"/>
    <w:rsid w:val="002913AF"/>
    <w:rsid w:val="002919BA"/>
    <w:rsid w:val="002919CC"/>
    <w:rsid w:val="00293A67"/>
    <w:rsid w:val="00293F9D"/>
    <w:rsid w:val="00296EB5"/>
    <w:rsid w:val="0029709D"/>
    <w:rsid w:val="0029709E"/>
    <w:rsid w:val="00297CDA"/>
    <w:rsid w:val="002A000B"/>
    <w:rsid w:val="002A1612"/>
    <w:rsid w:val="002A3C20"/>
    <w:rsid w:val="002A496D"/>
    <w:rsid w:val="002A4A23"/>
    <w:rsid w:val="002A4E70"/>
    <w:rsid w:val="002A5630"/>
    <w:rsid w:val="002A5A71"/>
    <w:rsid w:val="002A5FB6"/>
    <w:rsid w:val="002A627E"/>
    <w:rsid w:val="002A79EC"/>
    <w:rsid w:val="002B3E56"/>
    <w:rsid w:val="002B58BC"/>
    <w:rsid w:val="002B7380"/>
    <w:rsid w:val="002B791A"/>
    <w:rsid w:val="002C04AD"/>
    <w:rsid w:val="002C0820"/>
    <w:rsid w:val="002C0D64"/>
    <w:rsid w:val="002C3561"/>
    <w:rsid w:val="002C5412"/>
    <w:rsid w:val="002C66B5"/>
    <w:rsid w:val="002C7C17"/>
    <w:rsid w:val="002D10A6"/>
    <w:rsid w:val="002D1186"/>
    <w:rsid w:val="002D1598"/>
    <w:rsid w:val="002D2DB4"/>
    <w:rsid w:val="002D3812"/>
    <w:rsid w:val="002D3B71"/>
    <w:rsid w:val="002D3CFE"/>
    <w:rsid w:val="002D4B97"/>
    <w:rsid w:val="002D5979"/>
    <w:rsid w:val="002E1308"/>
    <w:rsid w:val="002E133F"/>
    <w:rsid w:val="002E18BB"/>
    <w:rsid w:val="002E1BF8"/>
    <w:rsid w:val="002E24FC"/>
    <w:rsid w:val="002E2BAC"/>
    <w:rsid w:val="002E32DE"/>
    <w:rsid w:val="002E436B"/>
    <w:rsid w:val="002E491B"/>
    <w:rsid w:val="002E56AE"/>
    <w:rsid w:val="002E5D35"/>
    <w:rsid w:val="002F05D7"/>
    <w:rsid w:val="002F0FE3"/>
    <w:rsid w:val="002F11F0"/>
    <w:rsid w:val="002F1E83"/>
    <w:rsid w:val="002F29BB"/>
    <w:rsid w:val="002F383F"/>
    <w:rsid w:val="002F5528"/>
    <w:rsid w:val="002F5959"/>
    <w:rsid w:val="002F674A"/>
    <w:rsid w:val="002F681E"/>
    <w:rsid w:val="002F6F52"/>
    <w:rsid w:val="00301F2F"/>
    <w:rsid w:val="003024F5"/>
    <w:rsid w:val="00302EA6"/>
    <w:rsid w:val="003032DA"/>
    <w:rsid w:val="003049D3"/>
    <w:rsid w:val="003071B2"/>
    <w:rsid w:val="00311AA5"/>
    <w:rsid w:val="00315F51"/>
    <w:rsid w:val="00317384"/>
    <w:rsid w:val="00317556"/>
    <w:rsid w:val="003175A0"/>
    <w:rsid w:val="0032160F"/>
    <w:rsid w:val="00321974"/>
    <w:rsid w:val="003220E5"/>
    <w:rsid w:val="0032387B"/>
    <w:rsid w:val="00324BBB"/>
    <w:rsid w:val="00325248"/>
    <w:rsid w:val="00326017"/>
    <w:rsid w:val="00327258"/>
    <w:rsid w:val="003311AB"/>
    <w:rsid w:val="003320A5"/>
    <w:rsid w:val="00332400"/>
    <w:rsid w:val="00337208"/>
    <w:rsid w:val="0033728C"/>
    <w:rsid w:val="00340579"/>
    <w:rsid w:val="003423C3"/>
    <w:rsid w:val="00342B5B"/>
    <w:rsid w:val="00342F0D"/>
    <w:rsid w:val="003437B9"/>
    <w:rsid w:val="003437D8"/>
    <w:rsid w:val="00343AF8"/>
    <w:rsid w:val="00343B54"/>
    <w:rsid w:val="003448C3"/>
    <w:rsid w:val="00344D71"/>
    <w:rsid w:val="003451A5"/>
    <w:rsid w:val="00346FBE"/>
    <w:rsid w:val="00346FFE"/>
    <w:rsid w:val="00347975"/>
    <w:rsid w:val="00347E89"/>
    <w:rsid w:val="0035040D"/>
    <w:rsid w:val="0035074A"/>
    <w:rsid w:val="00351228"/>
    <w:rsid w:val="00351A4E"/>
    <w:rsid w:val="00351D72"/>
    <w:rsid w:val="00351E67"/>
    <w:rsid w:val="0035231F"/>
    <w:rsid w:val="00354421"/>
    <w:rsid w:val="0035699D"/>
    <w:rsid w:val="00356CBC"/>
    <w:rsid w:val="00356D01"/>
    <w:rsid w:val="00356D92"/>
    <w:rsid w:val="00356E02"/>
    <w:rsid w:val="0035750B"/>
    <w:rsid w:val="00357EA0"/>
    <w:rsid w:val="00361670"/>
    <w:rsid w:val="00362DCB"/>
    <w:rsid w:val="00362F1C"/>
    <w:rsid w:val="003638A4"/>
    <w:rsid w:val="00363A3F"/>
    <w:rsid w:val="00363A70"/>
    <w:rsid w:val="003653E7"/>
    <w:rsid w:val="00365E3F"/>
    <w:rsid w:val="00366D29"/>
    <w:rsid w:val="00367E23"/>
    <w:rsid w:val="00370A8D"/>
    <w:rsid w:val="00372CD8"/>
    <w:rsid w:val="0037350C"/>
    <w:rsid w:val="003743E2"/>
    <w:rsid w:val="003747B4"/>
    <w:rsid w:val="0038100B"/>
    <w:rsid w:val="00381A40"/>
    <w:rsid w:val="00382687"/>
    <w:rsid w:val="003831EE"/>
    <w:rsid w:val="00383871"/>
    <w:rsid w:val="00383B44"/>
    <w:rsid w:val="003845FC"/>
    <w:rsid w:val="00384EE5"/>
    <w:rsid w:val="00384EEA"/>
    <w:rsid w:val="00385E24"/>
    <w:rsid w:val="003863BF"/>
    <w:rsid w:val="003868E9"/>
    <w:rsid w:val="00390CAF"/>
    <w:rsid w:val="00392237"/>
    <w:rsid w:val="003926F8"/>
    <w:rsid w:val="00392911"/>
    <w:rsid w:val="00393389"/>
    <w:rsid w:val="00394DD6"/>
    <w:rsid w:val="003954AA"/>
    <w:rsid w:val="00395FE2"/>
    <w:rsid w:val="00396711"/>
    <w:rsid w:val="00396D80"/>
    <w:rsid w:val="003970B1"/>
    <w:rsid w:val="003970DE"/>
    <w:rsid w:val="00397ED8"/>
    <w:rsid w:val="003A1495"/>
    <w:rsid w:val="003A2334"/>
    <w:rsid w:val="003A334B"/>
    <w:rsid w:val="003A3761"/>
    <w:rsid w:val="003A3B24"/>
    <w:rsid w:val="003A46C1"/>
    <w:rsid w:val="003A4D2B"/>
    <w:rsid w:val="003A53F8"/>
    <w:rsid w:val="003A5A57"/>
    <w:rsid w:val="003A61FC"/>
    <w:rsid w:val="003A690E"/>
    <w:rsid w:val="003A7206"/>
    <w:rsid w:val="003A736C"/>
    <w:rsid w:val="003A7A98"/>
    <w:rsid w:val="003B0586"/>
    <w:rsid w:val="003B0714"/>
    <w:rsid w:val="003B0981"/>
    <w:rsid w:val="003B0E19"/>
    <w:rsid w:val="003B0EBA"/>
    <w:rsid w:val="003B0F22"/>
    <w:rsid w:val="003B11F0"/>
    <w:rsid w:val="003B1A18"/>
    <w:rsid w:val="003B341F"/>
    <w:rsid w:val="003B4B60"/>
    <w:rsid w:val="003B5E55"/>
    <w:rsid w:val="003B5F10"/>
    <w:rsid w:val="003B6696"/>
    <w:rsid w:val="003B6DF8"/>
    <w:rsid w:val="003B7CF1"/>
    <w:rsid w:val="003C096C"/>
    <w:rsid w:val="003C0F58"/>
    <w:rsid w:val="003C1DF4"/>
    <w:rsid w:val="003C30B1"/>
    <w:rsid w:val="003C6AA9"/>
    <w:rsid w:val="003C784E"/>
    <w:rsid w:val="003D1813"/>
    <w:rsid w:val="003D1B5E"/>
    <w:rsid w:val="003D2FDC"/>
    <w:rsid w:val="003D302C"/>
    <w:rsid w:val="003D3E88"/>
    <w:rsid w:val="003D54F8"/>
    <w:rsid w:val="003D6115"/>
    <w:rsid w:val="003D63C3"/>
    <w:rsid w:val="003E127E"/>
    <w:rsid w:val="003E3308"/>
    <w:rsid w:val="003E3BF5"/>
    <w:rsid w:val="003E5F99"/>
    <w:rsid w:val="003E682E"/>
    <w:rsid w:val="003F1A6E"/>
    <w:rsid w:val="003F2A6B"/>
    <w:rsid w:val="003F33C9"/>
    <w:rsid w:val="003F5AD2"/>
    <w:rsid w:val="003F6DBB"/>
    <w:rsid w:val="003F6EF3"/>
    <w:rsid w:val="003F7DDE"/>
    <w:rsid w:val="00400617"/>
    <w:rsid w:val="00400D2C"/>
    <w:rsid w:val="00400FBE"/>
    <w:rsid w:val="004022EA"/>
    <w:rsid w:val="00402AB9"/>
    <w:rsid w:val="0040323F"/>
    <w:rsid w:val="0040587D"/>
    <w:rsid w:val="00406D4A"/>
    <w:rsid w:val="004075C0"/>
    <w:rsid w:val="00410428"/>
    <w:rsid w:val="00410824"/>
    <w:rsid w:val="00410E4F"/>
    <w:rsid w:val="00410FDE"/>
    <w:rsid w:val="00412990"/>
    <w:rsid w:val="00412D31"/>
    <w:rsid w:val="00413790"/>
    <w:rsid w:val="0041469B"/>
    <w:rsid w:val="00415C65"/>
    <w:rsid w:val="00420BF0"/>
    <w:rsid w:val="00420EBC"/>
    <w:rsid w:val="00421D69"/>
    <w:rsid w:val="00422FCF"/>
    <w:rsid w:val="00424537"/>
    <w:rsid w:val="00425BBC"/>
    <w:rsid w:val="00425BC0"/>
    <w:rsid w:val="004277C8"/>
    <w:rsid w:val="004302B7"/>
    <w:rsid w:val="004313C3"/>
    <w:rsid w:val="00432F5F"/>
    <w:rsid w:val="00435010"/>
    <w:rsid w:val="00435176"/>
    <w:rsid w:val="004354ED"/>
    <w:rsid w:val="004362A7"/>
    <w:rsid w:val="00436536"/>
    <w:rsid w:val="0043765A"/>
    <w:rsid w:val="0043782F"/>
    <w:rsid w:val="00440566"/>
    <w:rsid w:val="0044076A"/>
    <w:rsid w:val="00440FAA"/>
    <w:rsid w:val="00442B91"/>
    <w:rsid w:val="004447CC"/>
    <w:rsid w:val="00444DBD"/>
    <w:rsid w:val="0044584E"/>
    <w:rsid w:val="00445F08"/>
    <w:rsid w:val="004462B7"/>
    <w:rsid w:val="00451FE5"/>
    <w:rsid w:val="00452224"/>
    <w:rsid w:val="00452B05"/>
    <w:rsid w:val="00453317"/>
    <w:rsid w:val="004557A6"/>
    <w:rsid w:val="004559A6"/>
    <w:rsid w:val="00460A34"/>
    <w:rsid w:val="00460F48"/>
    <w:rsid w:val="00461919"/>
    <w:rsid w:val="004624B2"/>
    <w:rsid w:val="004625B0"/>
    <w:rsid w:val="00463347"/>
    <w:rsid w:val="0046464F"/>
    <w:rsid w:val="004648C8"/>
    <w:rsid w:val="004655CA"/>
    <w:rsid w:val="00470D98"/>
    <w:rsid w:val="00471A95"/>
    <w:rsid w:val="00472AFB"/>
    <w:rsid w:val="004737D1"/>
    <w:rsid w:val="00473AD5"/>
    <w:rsid w:val="00474618"/>
    <w:rsid w:val="00475982"/>
    <w:rsid w:val="00476443"/>
    <w:rsid w:val="0047655D"/>
    <w:rsid w:val="00476AF4"/>
    <w:rsid w:val="00480406"/>
    <w:rsid w:val="004815BA"/>
    <w:rsid w:val="00481DD2"/>
    <w:rsid w:val="00482B8D"/>
    <w:rsid w:val="00483564"/>
    <w:rsid w:val="0048409F"/>
    <w:rsid w:val="004840D3"/>
    <w:rsid w:val="0048454C"/>
    <w:rsid w:val="00484897"/>
    <w:rsid w:val="00484E61"/>
    <w:rsid w:val="00484E76"/>
    <w:rsid w:val="00490DAC"/>
    <w:rsid w:val="0049364B"/>
    <w:rsid w:val="00493F75"/>
    <w:rsid w:val="00494356"/>
    <w:rsid w:val="0049465D"/>
    <w:rsid w:val="0049565A"/>
    <w:rsid w:val="00495AE4"/>
    <w:rsid w:val="00495D93"/>
    <w:rsid w:val="0049634B"/>
    <w:rsid w:val="004970B6"/>
    <w:rsid w:val="004A0120"/>
    <w:rsid w:val="004A1AC1"/>
    <w:rsid w:val="004A25DD"/>
    <w:rsid w:val="004A27D5"/>
    <w:rsid w:val="004A5931"/>
    <w:rsid w:val="004A69A5"/>
    <w:rsid w:val="004A7E69"/>
    <w:rsid w:val="004B115A"/>
    <w:rsid w:val="004B1BE5"/>
    <w:rsid w:val="004B1CE5"/>
    <w:rsid w:val="004B3ADC"/>
    <w:rsid w:val="004B3D4B"/>
    <w:rsid w:val="004B4FD2"/>
    <w:rsid w:val="004B5274"/>
    <w:rsid w:val="004B61A8"/>
    <w:rsid w:val="004B6F5D"/>
    <w:rsid w:val="004B799B"/>
    <w:rsid w:val="004C0567"/>
    <w:rsid w:val="004C154C"/>
    <w:rsid w:val="004C2EDC"/>
    <w:rsid w:val="004C5B18"/>
    <w:rsid w:val="004C5F63"/>
    <w:rsid w:val="004C69B7"/>
    <w:rsid w:val="004C7949"/>
    <w:rsid w:val="004C7BAB"/>
    <w:rsid w:val="004D15B2"/>
    <w:rsid w:val="004D16AC"/>
    <w:rsid w:val="004D1A5A"/>
    <w:rsid w:val="004D1AA6"/>
    <w:rsid w:val="004D2E6F"/>
    <w:rsid w:val="004D3072"/>
    <w:rsid w:val="004D35F8"/>
    <w:rsid w:val="004D3B17"/>
    <w:rsid w:val="004D4792"/>
    <w:rsid w:val="004D4D9C"/>
    <w:rsid w:val="004D6E38"/>
    <w:rsid w:val="004D6FCD"/>
    <w:rsid w:val="004D7667"/>
    <w:rsid w:val="004D7AC8"/>
    <w:rsid w:val="004E0587"/>
    <w:rsid w:val="004E0F62"/>
    <w:rsid w:val="004E18BD"/>
    <w:rsid w:val="004E23A8"/>
    <w:rsid w:val="004E27C3"/>
    <w:rsid w:val="004E39FA"/>
    <w:rsid w:val="004E5DAD"/>
    <w:rsid w:val="004E708F"/>
    <w:rsid w:val="004E70B8"/>
    <w:rsid w:val="004F00A9"/>
    <w:rsid w:val="004F1A18"/>
    <w:rsid w:val="004F2396"/>
    <w:rsid w:val="004F280E"/>
    <w:rsid w:val="004F2E29"/>
    <w:rsid w:val="004F314C"/>
    <w:rsid w:val="004F33E7"/>
    <w:rsid w:val="004F3BD4"/>
    <w:rsid w:val="004F4A34"/>
    <w:rsid w:val="004F55F6"/>
    <w:rsid w:val="005019EE"/>
    <w:rsid w:val="0050240A"/>
    <w:rsid w:val="00502AD6"/>
    <w:rsid w:val="00504136"/>
    <w:rsid w:val="00504454"/>
    <w:rsid w:val="0050517C"/>
    <w:rsid w:val="00505D38"/>
    <w:rsid w:val="0050729E"/>
    <w:rsid w:val="0050751D"/>
    <w:rsid w:val="00507797"/>
    <w:rsid w:val="00507872"/>
    <w:rsid w:val="005104DC"/>
    <w:rsid w:val="00510991"/>
    <w:rsid w:val="00510B3C"/>
    <w:rsid w:val="00511B4F"/>
    <w:rsid w:val="00512EA1"/>
    <w:rsid w:val="00513DC4"/>
    <w:rsid w:val="0051419F"/>
    <w:rsid w:val="00514F4C"/>
    <w:rsid w:val="0051647B"/>
    <w:rsid w:val="005204B0"/>
    <w:rsid w:val="00524B02"/>
    <w:rsid w:val="005251E1"/>
    <w:rsid w:val="00525BCE"/>
    <w:rsid w:val="005263C0"/>
    <w:rsid w:val="005265FD"/>
    <w:rsid w:val="00527D1C"/>
    <w:rsid w:val="00530ACE"/>
    <w:rsid w:val="0053118F"/>
    <w:rsid w:val="00531F95"/>
    <w:rsid w:val="00532446"/>
    <w:rsid w:val="00533E8E"/>
    <w:rsid w:val="00535056"/>
    <w:rsid w:val="00535B48"/>
    <w:rsid w:val="00535D8D"/>
    <w:rsid w:val="00535E58"/>
    <w:rsid w:val="0053676D"/>
    <w:rsid w:val="00536BFA"/>
    <w:rsid w:val="005376E2"/>
    <w:rsid w:val="0054052D"/>
    <w:rsid w:val="005408C1"/>
    <w:rsid w:val="0054125F"/>
    <w:rsid w:val="0054263D"/>
    <w:rsid w:val="005442F2"/>
    <w:rsid w:val="0054437B"/>
    <w:rsid w:val="005449C9"/>
    <w:rsid w:val="005473EE"/>
    <w:rsid w:val="00547895"/>
    <w:rsid w:val="00547E03"/>
    <w:rsid w:val="0055144C"/>
    <w:rsid w:val="00551D77"/>
    <w:rsid w:val="00552212"/>
    <w:rsid w:val="00552AA8"/>
    <w:rsid w:val="00553148"/>
    <w:rsid w:val="00553BA6"/>
    <w:rsid w:val="005603F0"/>
    <w:rsid w:val="00560E87"/>
    <w:rsid w:val="00561AAF"/>
    <w:rsid w:val="00562328"/>
    <w:rsid w:val="0056347C"/>
    <w:rsid w:val="00563CE7"/>
    <w:rsid w:val="00564210"/>
    <w:rsid w:val="00565399"/>
    <w:rsid w:val="00566D21"/>
    <w:rsid w:val="00567EB6"/>
    <w:rsid w:val="005700FC"/>
    <w:rsid w:val="00570D63"/>
    <w:rsid w:val="00570E9D"/>
    <w:rsid w:val="00571D6F"/>
    <w:rsid w:val="0057307F"/>
    <w:rsid w:val="00573141"/>
    <w:rsid w:val="00575304"/>
    <w:rsid w:val="0057643C"/>
    <w:rsid w:val="005774EF"/>
    <w:rsid w:val="00581939"/>
    <w:rsid w:val="00582A7D"/>
    <w:rsid w:val="00582A84"/>
    <w:rsid w:val="00583082"/>
    <w:rsid w:val="00583B56"/>
    <w:rsid w:val="00585A1F"/>
    <w:rsid w:val="00586B75"/>
    <w:rsid w:val="00587182"/>
    <w:rsid w:val="00587997"/>
    <w:rsid w:val="00591E2C"/>
    <w:rsid w:val="00592DE0"/>
    <w:rsid w:val="0059560D"/>
    <w:rsid w:val="00595E91"/>
    <w:rsid w:val="00595FCF"/>
    <w:rsid w:val="00596BFB"/>
    <w:rsid w:val="005A3855"/>
    <w:rsid w:val="005A413F"/>
    <w:rsid w:val="005A6103"/>
    <w:rsid w:val="005A72BD"/>
    <w:rsid w:val="005B0000"/>
    <w:rsid w:val="005B1E4B"/>
    <w:rsid w:val="005B4B1C"/>
    <w:rsid w:val="005B510E"/>
    <w:rsid w:val="005B7727"/>
    <w:rsid w:val="005B7F0D"/>
    <w:rsid w:val="005C0CA8"/>
    <w:rsid w:val="005C0F74"/>
    <w:rsid w:val="005C1B8F"/>
    <w:rsid w:val="005C33A8"/>
    <w:rsid w:val="005C6D6B"/>
    <w:rsid w:val="005C6DF1"/>
    <w:rsid w:val="005D43CE"/>
    <w:rsid w:val="005D6923"/>
    <w:rsid w:val="005D743B"/>
    <w:rsid w:val="005E4D71"/>
    <w:rsid w:val="005E4F74"/>
    <w:rsid w:val="005E5F70"/>
    <w:rsid w:val="005E6444"/>
    <w:rsid w:val="005E65B5"/>
    <w:rsid w:val="005F130B"/>
    <w:rsid w:val="005F2162"/>
    <w:rsid w:val="005F2335"/>
    <w:rsid w:val="005F2363"/>
    <w:rsid w:val="005F3858"/>
    <w:rsid w:val="005F3F19"/>
    <w:rsid w:val="005F4910"/>
    <w:rsid w:val="005F4BA6"/>
    <w:rsid w:val="005F5060"/>
    <w:rsid w:val="005F51F7"/>
    <w:rsid w:val="005F7365"/>
    <w:rsid w:val="005F7C8A"/>
    <w:rsid w:val="00600543"/>
    <w:rsid w:val="0060066B"/>
    <w:rsid w:val="00601D97"/>
    <w:rsid w:val="0060204D"/>
    <w:rsid w:val="0060241C"/>
    <w:rsid w:val="00602ADF"/>
    <w:rsid w:val="00602DED"/>
    <w:rsid w:val="00603AB3"/>
    <w:rsid w:val="006067D6"/>
    <w:rsid w:val="00606B70"/>
    <w:rsid w:val="00612264"/>
    <w:rsid w:val="006122DE"/>
    <w:rsid w:val="00613905"/>
    <w:rsid w:val="00613EC1"/>
    <w:rsid w:val="006145FB"/>
    <w:rsid w:val="00616D82"/>
    <w:rsid w:val="00620778"/>
    <w:rsid w:val="00620B0A"/>
    <w:rsid w:val="00620FF4"/>
    <w:rsid w:val="00621EFE"/>
    <w:rsid w:val="00622312"/>
    <w:rsid w:val="00622544"/>
    <w:rsid w:val="00622E83"/>
    <w:rsid w:val="00623249"/>
    <w:rsid w:val="006239E4"/>
    <w:rsid w:val="00623F83"/>
    <w:rsid w:val="00624CE3"/>
    <w:rsid w:val="00624E31"/>
    <w:rsid w:val="00625B92"/>
    <w:rsid w:val="00625E45"/>
    <w:rsid w:val="006260F6"/>
    <w:rsid w:val="00626231"/>
    <w:rsid w:val="00626312"/>
    <w:rsid w:val="00626C1C"/>
    <w:rsid w:val="00627CE8"/>
    <w:rsid w:val="00627FC8"/>
    <w:rsid w:val="00631289"/>
    <w:rsid w:val="00633ECB"/>
    <w:rsid w:val="006351E4"/>
    <w:rsid w:val="0063557B"/>
    <w:rsid w:val="00636E91"/>
    <w:rsid w:val="00637297"/>
    <w:rsid w:val="00637298"/>
    <w:rsid w:val="006373D7"/>
    <w:rsid w:val="0063752A"/>
    <w:rsid w:val="0064076D"/>
    <w:rsid w:val="00640CBE"/>
    <w:rsid w:val="00641005"/>
    <w:rsid w:val="0064275B"/>
    <w:rsid w:val="00642F83"/>
    <w:rsid w:val="00643688"/>
    <w:rsid w:val="006446A7"/>
    <w:rsid w:val="00644D45"/>
    <w:rsid w:val="00645144"/>
    <w:rsid w:val="0064730F"/>
    <w:rsid w:val="00651703"/>
    <w:rsid w:val="00651C30"/>
    <w:rsid w:val="0065469B"/>
    <w:rsid w:val="0065517E"/>
    <w:rsid w:val="00656B2A"/>
    <w:rsid w:val="00656CBF"/>
    <w:rsid w:val="00656D58"/>
    <w:rsid w:val="00657AC2"/>
    <w:rsid w:val="006618A8"/>
    <w:rsid w:val="0066194A"/>
    <w:rsid w:val="006626B1"/>
    <w:rsid w:val="00663E9A"/>
    <w:rsid w:val="00663F26"/>
    <w:rsid w:val="00666222"/>
    <w:rsid w:val="00666749"/>
    <w:rsid w:val="00666CB5"/>
    <w:rsid w:val="00667246"/>
    <w:rsid w:val="0066780C"/>
    <w:rsid w:val="0067199B"/>
    <w:rsid w:val="00671A1A"/>
    <w:rsid w:val="00672F95"/>
    <w:rsid w:val="006735E7"/>
    <w:rsid w:val="00673C9D"/>
    <w:rsid w:val="00673F09"/>
    <w:rsid w:val="00675EFD"/>
    <w:rsid w:val="00676302"/>
    <w:rsid w:val="006773E1"/>
    <w:rsid w:val="006802BB"/>
    <w:rsid w:val="00680447"/>
    <w:rsid w:val="006805EC"/>
    <w:rsid w:val="00680852"/>
    <w:rsid w:val="00681826"/>
    <w:rsid w:val="00681F8E"/>
    <w:rsid w:val="00682D51"/>
    <w:rsid w:val="00682F10"/>
    <w:rsid w:val="00683FCD"/>
    <w:rsid w:val="006840D6"/>
    <w:rsid w:val="00684B2C"/>
    <w:rsid w:val="00687145"/>
    <w:rsid w:val="00687605"/>
    <w:rsid w:val="00690306"/>
    <w:rsid w:val="00690B15"/>
    <w:rsid w:val="00691545"/>
    <w:rsid w:val="00691845"/>
    <w:rsid w:val="006928C7"/>
    <w:rsid w:val="00692CAF"/>
    <w:rsid w:val="00693363"/>
    <w:rsid w:val="006942F9"/>
    <w:rsid w:val="0069492B"/>
    <w:rsid w:val="00695927"/>
    <w:rsid w:val="0069681F"/>
    <w:rsid w:val="006979C5"/>
    <w:rsid w:val="00697A7A"/>
    <w:rsid w:val="00697CD6"/>
    <w:rsid w:val="006A16D9"/>
    <w:rsid w:val="006A1992"/>
    <w:rsid w:val="006A300E"/>
    <w:rsid w:val="006A3703"/>
    <w:rsid w:val="006A5D4C"/>
    <w:rsid w:val="006A67FD"/>
    <w:rsid w:val="006A6CEA"/>
    <w:rsid w:val="006A722D"/>
    <w:rsid w:val="006A7737"/>
    <w:rsid w:val="006B032F"/>
    <w:rsid w:val="006B08D1"/>
    <w:rsid w:val="006B0A51"/>
    <w:rsid w:val="006B0EB5"/>
    <w:rsid w:val="006B1A8C"/>
    <w:rsid w:val="006B21E8"/>
    <w:rsid w:val="006B2914"/>
    <w:rsid w:val="006B3091"/>
    <w:rsid w:val="006B36CF"/>
    <w:rsid w:val="006B37BF"/>
    <w:rsid w:val="006B454E"/>
    <w:rsid w:val="006B5C9A"/>
    <w:rsid w:val="006B6AC7"/>
    <w:rsid w:val="006B6E65"/>
    <w:rsid w:val="006C0965"/>
    <w:rsid w:val="006C0D0E"/>
    <w:rsid w:val="006C0F2D"/>
    <w:rsid w:val="006C1900"/>
    <w:rsid w:val="006C21EB"/>
    <w:rsid w:val="006C308D"/>
    <w:rsid w:val="006C4377"/>
    <w:rsid w:val="006C4548"/>
    <w:rsid w:val="006C5287"/>
    <w:rsid w:val="006C5D8F"/>
    <w:rsid w:val="006C635D"/>
    <w:rsid w:val="006C6747"/>
    <w:rsid w:val="006C782A"/>
    <w:rsid w:val="006D2CFE"/>
    <w:rsid w:val="006D3C98"/>
    <w:rsid w:val="006D493C"/>
    <w:rsid w:val="006D4953"/>
    <w:rsid w:val="006D4D37"/>
    <w:rsid w:val="006D5161"/>
    <w:rsid w:val="006D5891"/>
    <w:rsid w:val="006D6EE1"/>
    <w:rsid w:val="006D6EE2"/>
    <w:rsid w:val="006D735A"/>
    <w:rsid w:val="006E2EDC"/>
    <w:rsid w:val="006E312E"/>
    <w:rsid w:val="006E65E0"/>
    <w:rsid w:val="006F0C0B"/>
    <w:rsid w:val="006F2740"/>
    <w:rsid w:val="006F2C2A"/>
    <w:rsid w:val="006F3203"/>
    <w:rsid w:val="006F32D3"/>
    <w:rsid w:val="006F6AD6"/>
    <w:rsid w:val="006F787D"/>
    <w:rsid w:val="006F7F97"/>
    <w:rsid w:val="00700D65"/>
    <w:rsid w:val="007012EC"/>
    <w:rsid w:val="00704828"/>
    <w:rsid w:val="007053B3"/>
    <w:rsid w:val="0070547A"/>
    <w:rsid w:val="0070639C"/>
    <w:rsid w:val="00706D90"/>
    <w:rsid w:val="00710173"/>
    <w:rsid w:val="007117B1"/>
    <w:rsid w:val="0071253A"/>
    <w:rsid w:val="00714B6A"/>
    <w:rsid w:val="00715DEA"/>
    <w:rsid w:val="007161DE"/>
    <w:rsid w:val="007168D3"/>
    <w:rsid w:val="0071691F"/>
    <w:rsid w:val="00716E24"/>
    <w:rsid w:val="00716EC4"/>
    <w:rsid w:val="00717826"/>
    <w:rsid w:val="007178A9"/>
    <w:rsid w:val="00720A31"/>
    <w:rsid w:val="00720B16"/>
    <w:rsid w:val="00721C08"/>
    <w:rsid w:val="007237C6"/>
    <w:rsid w:val="00723B1E"/>
    <w:rsid w:val="0072755F"/>
    <w:rsid w:val="00727C1B"/>
    <w:rsid w:val="007323C6"/>
    <w:rsid w:val="0073263C"/>
    <w:rsid w:val="00732873"/>
    <w:rsid w:val="007357FE"/>
    <w:rsid w:val="00736469"/>
    <w:rsid w:val="0074213E"/>
    <w:rsid w:val="00742B63"/>
    <w:rsid w:val="007477FA"/>
    <w:rsid w:val="00750800"/>
    <w:rsid w:val="00750A36"/>
    <w:rsid w:val="0075161C"/>
    <w:rsid w:val="0075163E"/>
    <w:rsid w:val="0075246B"/>
    <w:rsid w:val="0075246C"/>
    <w:rsid w:val="007528A0"/>
    <w:rsid w:val="00752D0A"/>
    <w:rsid w:val="00752F8D"/>
    <w:rsid w:val="007549BF"/>
    <w:rsid w:val="00755D4B"/>
    <w:rsid w:val="00756445"/>
    <w:rsid w:val="00756B45"/>
    <w:rsid w:val="007571AF"/>
    <w:rsid w:val="00757AEA"/>
    <w:rsid w:val="00760467"/>
    <w:rsid w:val="007607E1"/>
    <w:rsid w:val="00761ED5"/>
    <w:rsid w:val="00762D54"/>
    <w:rsid w:val="00763093"/>
    <w:rsid w:val="00763F6E"/>
    <w:rsid w:val="00764622"/>
    <w:rsid w:val="0076495D"/>
    <w:rsid w:val="007658A3"/>
    <w:rsid w:val="00765BDA"/>
    <w:rsid w:val="00767FE4"/>
    <w:rsid w:val="00770142"/>
    <w:rsid w:val="00770C20"/>
    <w:rsid w:val="00771F74"/>
    <w:rsid w:val="00772548"/>
    <w:rsid w:val="0077284A"/>
    <w:rsid w:val="007729F7"/>
    <w:rsid w:val="00772A4E"/>
    <w:rsid w:val="00773A0F"/>
    <w:rsid w:val="007763BD"/>
    <w:rsid w:val="007768F4"/>
    <w:rsid w:val="0077734F"/>
    <w:rsid w:val="00777ED1"/>
    <w:rsid w:val="00783CF6"/>
    <w:rsid w:val="0078433B"/>
    <w:rsid w:val="00784A28"/>
    <w:rsid w:val="007959AB"/>
    <w:rsid w:val="00795E3E"/>
    <w:rsid w:val="00797AB0"/>
    <w:rsid w:val="007A0532"/>
    <w:rsid w:val="007A0638"/>
    <w:rsid w:val="007A08FD"/>
    <w:rsid w:val="007A14DF"/>
    <w:rsid w:val="007A1D76"/>
    <w:rsid w:val="007A21BA"/>
    <w:rsid w:val="007A34D4"/>
    <w:rsid w:val="007A3B1D"/>
    <w:rsid w:val="007A40EC"/>
    <w:rsid w:val="007A6575"/>
    <w:rsid w:val="007A65BA"/>
    <w:rsid w:val="007A6C9C"/>
    <w:rsid w:val="007B130D"/>
    <w:rsid w:val="007B187D"/>
    <w:rsid w:val="007B1C1E"/>
    <w:rsid w:val="007B2720"/>
    <w:rsid w:val="007B2FBB"/>
    <w:rsid w:val="007B3D05"/>
    <w:rsid w:val="007B41DD"/>
    <w:rsid w:val="007B458E"/>
    <w:rsid w:val="007B5859"/>
    <w:rsid w:val="007B63FA"/>
    <w:rsid w:val="007B6B1C"/>
    <w:rsid w:val="007C1F15"/>
    <w:rsid w:val="007C24C0"/>
    <w:rsid w:val="007C45CA"/>
    <w:rsid w:val="007C4783"/>
    <w:rsid w:val="007C6B1D"/>
    <w:rsid w:val="007C6FA3"/>
    <w:rsid w:val="007D0754"/>
    <w:rsid w:val="007D0B15"/>
    <w:rsid w:val="007D1D98"/>
    <w:rsid w:val="007D28C0"/>
    <w:rsid w:val="007D38C4"/>
    <w:rsid w:val="007D4693"/>
    <w:rsid w:val="007D472A"/>
    <w:rsid w:val="007D58B7"/>
    <w:rsid w:val="007D608A"/>
    <w:rsid w:val="007D7A7C"/>
    <w:rsid w:val="007E05AC"/>
    <w:rsid w:val="007E0D84"/>
    <w:rsid w:val="007E10B3"/>
    <w:rsid w:val="007E1373"/>
    <w:rsid w:val="007E3FBE"/>
    <w:rsid w:val="007E41C5"/>
    <w:rsid w:val="007E5B51"/>
    <w:rsid w:val="007E6093"/>
    <w:rsid w:val="007E78F8"/>
    <w:rsid w:val="007E7B11"/>
    <w:rsid w:val="007F00DF"/>
    <w:rsid w:val="007F0DA4"/>
    <w:rsid w:val="007F2A34"/>
    <w:rsid w:val="007F3B0E"/>
    <w:rsid w:val="007F4480"/>
    <w:rsid w:val="007F4E4F"/>
    <w:rsid w:val="007F6FAE"/>
    <w:rsid w:val="007F769B"/>
    <w:rsid w:val="00801FC1"/>
    <w:rsid w:val="008025DA"/>
    <w:rsid w:val="008034CD"/>
    <w:rsid w:val="00804945"/>
    <w:rsid w:val="008049D4"/>
    <w:rsid w:val="0080586E"/>
    <w:rsid w:val="00806383"/>
    <w:rsid w:val="008065BE"/>
    <w:rsid w:val="00807E8A"/>
    <w:rsid w:val="00811AF1"/>
    <w:rsid w:val="008120E3"/>
    <w:rsid w:val="00812AC9"/>
    <w:rsid w:val="0081593F"/>
    <w:rsid w:val="00817BC8"/>
    <w:rsid w:val="00821E2F"/>
    <w:rsid w:val="00822694"/>
    <w:rsid w:val="0082494B"/>
    <w:rsid w:val="00824F89"/>
    <w:rsid w:val="00825740"/>
    <w:rsid w:val="00826C2F"/>
    <w:rsid w:val="00830C85"/>
    <w:rsid w:val="00832D78"/>
    <w:rsid w:val="00834B3F"/>
    <w:rsid w:val="00835BF0"/>
    <w:rsid w:val="00837067"/>
    <w:rsid w:val="00837995"/>
    <w:rsid w:val="008406ED"/>
    <w:rsid w:val="00840B1D"/>
    <w:rsid w:val="0084110E"/>
    <w:rsid w:val="00841ADF"/>
    <w:rsid w:val="00841B6E"/>
    <w:rsid w:val="008425AE"/>
    <w:rsid w:val="0084283B"/>
    <w:rsid w:val="00844563"/>
    <w:rsid w:val="00844CB0"/>
    <w:rsid w:val="008459D8"/>
    <w:rsid w:val="0084742C"/>
    <w:rsid w:val="00850A2C"/>
    <w:rsid w:val="00854245"/>
    <w:rsid w:val="00854333"/>
    <w:rsid w:val="00854CF0"/>
    <w:rsid w:val="0085554E"/>
    <w:rsid w:val="00855D1A"/>
    <w:rsid w:val="00856FE0"/>
    <w:rsid w:val="00857CAD"/>
    <w:rsid w:val="00857CB2"/>
    <w:rsid w:val="00860CB7"/>
    <w:rsid w:val="00860E56"/>
    <w:rsid w:val="008610C7"/>
    <w:rsid w:val="0086231C"/>
    <w:rsid w:val="00863CF1"/>
    <w:rsid w:val="00863E89"/>
    <w:rsid w:val="00865CCB"/>
    <w:rsid w:val="0086752B"/>
    <w:rsid w:val="00867A5F"/>
    <w:rsid w:val="00870FD1"/>
    <w:rsid w:val="0087145E"/>
    <w:rsid w:val="00871C2C"/>
    <w:rsid w:val="0087207E"/>
    <w:rsid w:val="008722F3"/>
    <w:rsid w:val="00873AF2"/>
    <w:rsid w:val="00874C64"/>
    <w:rsid w:val="008750F8"/>
    <w:rsid w:val="00876245"/>
    <w:rsid w:val="00876AFC"/>
    <w:rsid w:val="00881438"/>
    <w:rsid w:val="0088167B"/>
    <w:rsid w:val="00881E28"/>
    <w:rsid w:val="00882917"/>
    <w:rsid w:val="00882DF5"/>
    <w:rsid w:val="0088452D"/>
    <w:rsid w:val="00885254"/>
    <w:rsid w:val="00886690"/>
    <w:rsid w:val="00887451"/>
    <w:rsid w:val="00890469"/>
    <w:rsid w:val="008912BF"/>
    <w:rsid w:val="00892FBB"/>
    <w:rsid w:val="008932C5"/>
    <w:rsid w:val="00893B40"/>
    <w:rsid w:val="00895AD2"/>
    <w:rsid w:val="008978EB"/>
    <w:rsid w:val="00897C2D"/>
    <w:rsid w:val="008A073A"/>
    <w:rsid w:val="008A07B4"/>
    <w:rsid w:val="008A0BDF"/>
    <w:rsid w:val="008A3DBB"/>
    <w:rsid w:val="008A4D15"/>
    <w:rsid w:val="008A64F1"/>
    <w:rsid w:val="008A6AB6"/>
    <w:rsid w:val="008A729F"/>
    <w:rsid w:val="008A7335"/>
    <w:rsid w:val="008A74E8"/>
    <w:rsid w:val="008B006D"/>
    <w:rsid w:val="008B123E"/>
    <w:rsid w:val="008B3006"/>
    <w:rsid w:val="008B4037"/>
    <w:rsid w:val="008B4DA5"/>
    <w:rsid w:val="008B5588"/>
    <w:rsid w:val="008B70D2"/>
    <w:rsid w:val="008B7FF3"/>
    <w:rsid w:val="008C0FE9"/>
    <w:rsid w:val="008C105B"/>
    <w:rsid w:val="008C13FA"/>
    <w:rsid w:val="008C3829"/>
    <w:rsid w:val="008C3931"/>
    <w:rsid w:val="008C4009"/>
    <w:rsid w:val="008C4819"/>
    <w:rsid w:val="008C48B7"/>
    <w:rsid w:val="008C5437"/>
    <w:rsid w:val="008C5E56"/>
    <w:rsid w:val="008C68C6"/>
    <w:rsid w:val="008C7105"/>
    <w:rsid w:val="008C76B5"/>
    <w:rsid w:val="008D0BAB"/>
    <w:rsid w:val="008D18F1"/>
    <w:rsid w:val="008D1A5B"/>
    <w:rsid w:val="008D3520"/>
    <w:rsid w:val="008D3D86"/>
    <w:rsid w:val="008D403A"/>
    <w:rsid w:val="008D519F"/>
    <w:rsid w:val="008D63AB"/>
    <w:rsid w:val="008D7349"/>
    <w:rsid w:val="008E180D"/>
    <w:rsid w:val="008E2AB8"/>
    <w:rsid w:val="008E2B73"/>
    <w:rsid w:val="008E2C45"/>
    <w:rsid w:val="008E3C67"/>
    <w:rsid w:val="008E47A5"/>
    <w:rsid w:val="008E629D"/>
    <w:rsid w:val="008E73DE"/>
    <w:rsid w:val="008E7F33"/>
    <w:rsid w:val="008F17B4"/>
    <w:rsid w:val="008F1C49"/>
    <w:rsid w:val="008F2A39"/>
    <w:rsid w:val="008F321C"/>
    <w:rsid w:val="008F4A33"/>
    <w:rsid w:val="008F5CA5"/>
    <w:rsid w:val="008F6177"/>
    <w:rsid w:val="008F68D8"/>
    <w:rsid w:val="00901F73"/>
    <w:rsid w:val="00902D37"/>
    <w:rsid w:val="0090382E"/>
    <w:rsid w:val="0090412C"/>
    <w:rsid w:val="009045CB"/>
    <w:rsid w:val="00905B19"/>
    <w:rsid w:val="00905DFF"/>
    <w:rsid w:val="00906B44"/>
    <w:rsid w:val="00906DF6"/>
    <w:rsid w:val="00911A13"/>
    <w:rsid w:val="00911FE9"/>
    <w:rsid w:val="00912514"/>
    <w:rsid w:val="009135D9"/>
    <w:rsid w:val="00914515"/>
    <w:rsid w:val="00915B9A"/>
    <w:rsid w:val="009162ED"/>
    <w:rsid w:val="009202B4"/>
    <w:rsid w:val="009208FD"/>
    <w:rsid w:val="009219F1"/>
    <w:rsid w:val="00922AC1"/>
    <w:rsid w:val="0092328F"/>
    <w:rsid w:val="0092491E"/>
    <w:rsid w:val="0092716E"/>
    <w:rsid w:val="00930ED3"/>
    <w:rsid w:val="00931486"/>
    <w:rsid w:val="00932258"/>
    <w:rsid w:val="009341D4"/>
    <w:rsid w:val="00934D57"/>
    <w:rsid w:val="009350CC"/>
    <w:rsid w:val="009354F0"/>
    <w:rsid w:val="00935FEC"/>
    <w:rsid w:val="009362A9"/>
    <w:rsid w:val="009364CD"/>
    <w:rsid w:val="00937DBA"/>
    <w:rsid w:val="00937E0C"/>
    <w:rsid w:val="00942C7D"/>
    <w:rsid w:val="00942FA9"/>
    <w:rsid w:val="00944553"/>
    <w:rsid w:val="009445C8"/>
    <w:rsid w:val="009448C7"/>
    <w:rsid w:val="00944B0B"/>
    <w:rsid w:val="00944F2B"/>
    <w:rsid w:val="009450A0"/>
    <w:rsid w:val="00946422"/>
    <w:rsid w:val="00947260"/>
    <w:rsid w:val="009531CF"/>
    <w:rsid w:val="00953EAD"/>
    <w:rsid w:val="00954A03"/>
    <w:rsid w:val="00954C6E"/>
    <w:rsid w:val="00954E0A"/>
    <w:rsid w:val="00955C64"/>
    <w:rsid w:val="00956030"/>
    <w:rsid w:val="009563F5"/>
    <w:rsid w:val="00956B73"/>
    <w:rsid w:val="00956F68"/>
    <w:rsid w:val="009573D2"/>
    <w:rsid w:val="009608FD"/>
    <w:rsid w:val="00962B27"/>
    <w:rsid w:val="00963691"/>
    <w:rsid w:val="00963B6A"/>
    <w:rsid w:val="0096577E"/>
    <w:rsid w:val="0096644A"/>
    <w:rsid w:val="009677CB"/>
    <w:rsid w:val="009678A6"/>
    <w:rsid w:val="00967E38"/>
    <w:rsid w:val="00971D29"/>
    <w:rsid w:val="009721FC"/>
    <w:rsid w:val="00972FFF"/>
    <w:rsid w:val="0097318F"/>
    <w:rsid w:val="00973F9E"/>
    <w:rsid w:val="00974584"/>
    <w:rsid w:val="00974D7F"/>
    <w:rsid w:val="0097532D"/>
    <w:rsid w:val="00975E49"/>
    <w:rsid w:val="00977DF8"/>
    <w:rsid w:val="00980D93"/>
    <w:rsid w:val="0098161A"/>
    <w:rsid w:val="00981699"/>
    <w:rsid w:val="00982146"/>
    <w:rsid w:val="00982307"/>
    <w:rsid w:val="009841C4"/>
    <w:rsid w:val="009845A5"/>
    <w:rsid w:val="00984BF6"/>
    <w:rsid w:val="00987AEE"/>
    <w:rsid w:val="00987AF5"/>
    <w:rsid w:val="009902C1"/>
    <w:rsid w:val="009906B6"/>
    <w:rsid w:val="00990F1A"/>
    <w:rsid w:val="009912D7"/>
    <w:rsid w:val="00992B86"/>
    <w:rsid w:val="009936B3"/>
    <w:rsid w:val="009938CF"/>
    <w:rsid w:val="00993F75"/>
    <w:rsid w:val="0099418D"/>
    <w:rsid w:val="009974A2"/>
    <w:rsid w:val="00997964"/>
    <w:rsid w:val="009A09D6"/>
    <w:rsid w:val="009A39DD"/>
    <w:rsid w:val="009A5231"/>
    <w:rsid w:val="009A67E3"/>
    <w:rsid w:val="009B04E6"/>
    <w:rsid w:val="009B130C"/>
    <w:rsid w:val="009B1967"/>
    <w:rsid w:val="009B1CC7"/>
    <w:rsid w:val="009B20C7"/>
    <w:rsid w:val="009B3A31"/>
    <w:rsid w:val="009B3AA8"/>
    <w:rsid w:val="009B4F98"/>
    <w:rsid w:val="009B5B99"/>
    <w:rsid w:val="009B61C5"/>
    <w:rsid w:val="009B648B"/>
    <w:rsid w:val="009B6507"/>
    <w:rsid w:val="009B6CEB"/>
    <w:rsid w:val="009B714D"/>
    <w:rsid w:val="009B745C"/>
    <w:rsid w:val="009C008E"/>
    <w:rsid w:val="009C1841"/>
    <w:rsid w:val="009C1E16"/>
    <w:rsid w:val="009C415C"/>
    <w:rsid w:val="009C7842"/>
    <w:rsid w:val="009D01C2"/>
    <w:rsid w:val="009D0932"/>
    <w:rsid w:val="009D13FF"/>
    <w:rsid w:val="009D1B9B"/>
    <w:rsid w:val="009D3958"/>
    <w:rsid w:val="009D471C"/>
    <w:rsid w:val="009D50C0"/>
    <w:rsid w:val="009D5327"/>
    <w:rsid w:val="009D57E8"/>
    <w:rsid w:val="009D5D44"/>
    <w:rsid w:val="009D62C7"/>
    <w:rsid w:val="009D62E5"/>
    <w:rsid w:val="009D7909"/>
    <w:rsid w:val="009D7A09"/>
    <w:rsid w:val="009E0090"/>
    <w:rsid w:val="009E0887"/>
    <w:rsid w:val="009E096E"/>
    <w:rsid w:val="009E1344"/>
    <w:rsid w:val="009E1F9E"/>
    <w:rsid w:val="009E210E"/>
    <w:rsid w:val="009E3E57"/>
    <w:rsid w:val="009E411F"/>
    <w:rsid w:val="009E4388"/>
    <w:rsid w:val="009E486E"/>
    <w:rsid w:val="009E48ED"/>
    <w:rsid w:val="009E4982"/>
    <w:rsid w:val="009E49CB"/>
    <w:rsid w:val="009E4B6E"/>
    <w:rsid w:val="009E4E09"/>
    <w:rsid w:val="009F050C"/>
    <w:rsid w:val="009F37AE"/>
    <w:rsid w:val="009F40B7"/>
    <w:rsid w:val="009F42ED"/>
    <w:rsid w:val="009F4AE1"/>
    <w:rsid w:val="009F5279"/>
    <w:rsid w:val="009F75F2"/>
    <w:rsid w:val="009F7726"/>
    <w:rsid w:val="009F7A3F"/>
    <w:rsid w:val="009F7BC3"/>
    <w:rsid w:val="00A01D04"/>
    <w:rsid w:val="00A02134"/>
    <w:rsid w:val="00A0237A"/>
    <w:rsid w:val="00A02429"/>
    <w:rsid w:val="00A02983"/>
    <w:rsid w:val="00A02B34"/>
    <w:rsid w:val="00A03656"/>
    <w:rsid w:val="00A078FE"/>
    <w:rsid w:val="00A07CC7"/>
    <w:rsid w:val="00A10903"/>
    <w:rsid w:val="00A1293E"/>
    <w:rsid w:val="00A13384"/>
    <w:rsid w:val="00A14B66"/>
    <w:rsid w:val="00A14C0C"/>
    <w:rsid w:val="00A14CF7"/>
    <w:rsid w:val="00A15043"/>
    <w:rsid w:val="00A1579E"/>
    <w:rsid w:val="00A168C3"/>
    <w:rsid w:val="00A1693A"/>
    <w:rsid w:val="00A203F1"/>
    <w:rsid w:val="00A216C9"/>
    <w:rsid w:val="00A23E08"/>
    <w:rsid w:val="00A246E2"/>
    <w:rsid w:val="00A25369"/>
    <w:rsid w:val="00A25CE4"/>
    <w:rsid w:val="00A25F45"/>
    <w:rsid w:val="00A261A4"/>
    <w:rsid w:val="00A2705B"/>
    <w:rsid w:val="00A278DF"/>
    <w:rsid w:val="00A304C0"/>
    <w:rsid w:val="00A3085E"/>
    <w:rsid w:val="00A310C3"/>
    <w:rsid w:val="00A3186E"/>
    <w:rsid w:val="00A32AA5"/>
    <w:rsid w:val="00A336B4"/>
    <w:rsid w:val="00A33ECB"/>
    <w:rsid w:val="00A36BC2"/>
    <w:rsid w:val="00A36F32"/>
    <w:rsid w:val="00A372A2"/>
    <w:rsid w:val="00A402E6"/>
    <w:rsid w:val="00A41069"/>
    <w:rsid w:val="00A42608"/>
    <w:rsid w:val="00A4455F"/>
    <w:rsid w:val="00A455FC"/>
    <w:rsid w:val="00A45F7F"/>
    <w:rsid w:val="00A467BC"/>
    <w:rsid w:val="00A47020"/>
    <w:rsid w:val="00A47497"/>
    <w:rsid w:val="00A51D6A"/>
    <w:rsid w:val="00A521A2"/>
    <w:rsid w:val="00A5245A"/>
    <w:rsid w:val="00A53335"/>
    <w:rsid w:val="00A54B66"/>
    <w:rsid w:val="00A54FCB"/>
    <w:rsid w:val="00A55374"/>
    <w:rsid w:val="00A56ABA"/>
    <w:rsid w:val="00A61403"/>
    <w:rsid w:val="00A621E8"/>
    <w:rsid w:val="00A62BC6"/>
    <w:rsid w:val="00A6380E"/>
    <w:rsid w:val="00A63C8C"/>
    <w:rsid w:val="00A66A8E"/>
    <w:rsid w:val="00A679E0"/>
    <w:rsid w:val="00A7047B"/>
    <w:rsid w:val="00A707FD"/>
    <w:rsid w:val="00A70CAD"/>
    <w:rsid w:val="00A71C48"/>
    <w:rsid w:val="00A7325E"/>
    <w:rsid w:val="00A754DD"/>
    <w:rsid w:val="00A75F5A"/>
    <w:rsid w:val="00A76395"/>
    <w:rsid w:val="00A765EA"/>
    <w:rsid w:val="00A76F2B"/>
    <w:rsid w:val="00A80B9C"/>
    <w:rsid w:val="00A81E3D"/>
    <w:rsid w:val="00A82B18"/>
    <w:rsid w:val="00A83545"/>
    <w:rsid w:val="00A83EDC"/>
    <w:rsid w:val="00A8422A"/>
    <w:rsid w:val="00A8718A"/>
    <w:rsid w:val="00A872EA"/>
    <w:rsid w:val="00A90589"/>
    <w:rsid w:val="00A90608"/>
    <w:rsid w:val="00A90A09"/>
    <w:rsid w:val="00A90F42"/>
    <w:rsid w:val="00A917DB"/>
    <w:rsid w:val="00A91CF8"/>
    <w:rsid w:val="00A91FEB"/>
    <w:rsid w:val="00A931B0"/>
    <w:rsid w:val="00A94BBF"/>
    <w:rsid w:val="00A95A9D"/>
    <w:rsid w:val="00A96BE5"/>
    <w:rsid w:val="00A96C89"/>
    <w:rsid w:val="00A96E2E"/>
    <w:rsid w:val="00A97259"/>
    <w:rsid w:val="00A973C2"/>
    <w:rsid w:val="00A97916"/>
    <w:rsid w:val="00A97AD4"/>
    <w:rsid w:val="00AA1E46"/>
    <w:rsid w:val="00AA2DAB"/>
    <w:rsid w:val="00AA35C4"/>
    <w:rsid w:val="00AA4296"/>
    <w:rsid w:val="00AA5A9F"/>
    <w:rsid w:val="00AA76E8"/>
    <w:rsid w:val="00AB044B"/>
    <w:rsid w:val="00AB0902"/>
    <w:rsid w:val="00AB0F6C"/>
    <w:rsid w:val="00AB1002"/>
    <w:rsid w:val="00AB1412"/>
    <w:rsid w:val="00AB2C4A"/>
    <w:rsid w:val="00AB3AAF"/>
    <w:rsid w:val="00AB43DD"/>
    <w:rsid w:val="00AB45E8"/>
    <w:rsid w:val="00AB4D3B"/>
    <w:rsid w:val="00AB75CF"/>
    <w:rsid w:val="00AB7711"/>
    <w:rsid w:val="00AC1649"/>
    <w:rsid w:val="00AC3B8E"/>
    <w:rsid w:val="00AC3F3A"/>
    <w:rsid w:val="00AC41CE"/>
    <w:rsid w:val="00AC62C4"/>
    <w:rsid w:val="00AC6E37"/>
    <w:rsid w:val="00AC75E5"/>
    <w:rsid w:val="00AC7A84"/>
    <w:rsid w:val="00AD051A"/>
    <w:rsid w:val="00AD08C4"/>
    <w:rsid w:val="00AD130B"/>
    <w:rsid w:val="00AD23E3"/>
    <w:rsid w:val="00AD2B3A"/>
    <w:rsid w:val="00AD36FC"/>
    <w:rsid w:val="00AD6EE3"/>
    <w:rsid w:val="00AE0B75"/>
    <w:rsid w:val="00AE1AC3"/>
    <w:rsid w:val="00AE2C34"/>
    <w:rsid w:val="00AE35B9"/>
    <w:rsid w:val="00AE46FD"/>
    <w:rsid w:val="00AE47C0"/>
    <w:rsid w:val="00AE4D06"/>
    <w:rsid w:val="00AE4FC8"/>
    <w:rsid w:val="00AE5BB8"/>
    <w:rsid w:val="00AE6977"/>
    <w:rsid w:val="00AF0FB4"/>
    <w:rsid w:val="00AF1111"/>
    <w:rsid w:val="00AF1FDB"/>
    <w:rsid w:val="00AF29DF"/>
    <w:rsid w:val="00AF2AC4"/>
    <w:rsid w:val="00AF2C47"/>
    <w:rsid w:val="00AF3308"/>
    <w:rsid w:val="00AF36D9"/>
    <w:rsid w:val="00AF37BB"/>
    <w:rsid w:val="00AF5C93"/>
    <w:rsid w:val="00AF69B9"/>
    <w:rsid w:val="00AF7058"/>
    <w:rsid w:val="00AF709B"/>
    <w:rsid w:val="00AF70B3"/>
    <w:rsid w:val="00AF743D"/>
    <w:rsid w:val="00AF7C58"/>
    <w:rsid w:val="00AF7F98"/>
    <w:rsid w:val="00B001BB"/>
    <w:rsid w:val="00B0080F"/>
    <w:rsid w:val="00B024F2"/>
    <w:rsid w:val="00B02D41"/>
    <w:rsid w:val="00B04C24"/>
    <w:rsid w:val="00B0533C"/>
    <w:rsid w:val="00B056D8"/>
    <w:rsid w:val="00B05AF7"/>
    <w:rsid w:val="00B0791C"/>
    <w:rsid w:val="00B10F79"/>
    <w:rsid w:val="00B11DFE"/>
    <w:rsid w:val="00B13B1B"/>
    <w:rsid w:val="00B14018"/>
    <w:rsid w:val="00B1509D"/>
    <w:rsid w:val="00B1522F"/>
    <w:rsid w:val="00B16C63"/>
    <w:rsid w:val="00B177A3"/>
    <w:rsid w:val="00B21D07"/>
    <w:rsid w:val="00B224F0"/>
    <w:rsid w:val="00B22E4A"/>
    <w:rsid w:val="00B23324"/>
    <w:rsid w:val="00B2360C"/>
    <w:rsid w:val="00B248DF"/>
    <w:rsid w:val="00B2531B"/>
    <w:rsid w:val="00B2546E"/>
    <w:rsid w:val="00B26435"/>
    <w:rsid w:val="00B306C3"/>
    <w:rsid w:val="00B31CEA"/>
    <w:rsid w:val="00B33484"/>
    <w:rsid w:val="00B33DCA"/>
    <w:rsid w:val="00B341C5"/>
    <w:rsid w:val="00B34536"/>
    <w:rsid w:val="00B34929"/>
    <w:rsid w:val="00B34CD8"/>
    <w:rsid w:val="00B34FCE"/>
    <w:rsid w:val="00B35556"/>
    <w:rsid w:val="00B3676E"/>
    <w:rsid w:val="00B3708D"/>
    <w:rsid w:val="00B42652"/>
    <w:rsid w:val="00B43B89"/>
    <w:rsid w:val="00B44380"/>
    <w:rsid w:val="00B44E27"/>
    <w:rsid w:val="00B453B4"/>
    <w:rsid w:val="00B454B2"/>
    <w:rsid w:val="00B45AC3"/>
    <w:rsid w:val="00B45D54"/>
    <w:rsid w:val="00B46D3A"/>
    <w:rsid w:val="00B51137"/>
    <w:rsid w:val="00B51193"/>
    <w:rsid w:val="00B55651"/>
    <w:rsid w:val="00B56AD0"/>
    <w:rsid w:val="00B57AE8"/>
    <w:rsid w:val="00B6113E"/>
    <w:rsid w:val="00B637DD"/>
    <w:rsid w:val="00B6478F"/>
    <w:rsid w:val="00B64929"/>
    <w:rsid w:val="00B64F50"/>
    <w:rsid w:val="00B651B5"/>
    <w:rsid w:val="00B7030C"/>
    <w:rsid w:val="00B703C9"/>
    <w:rsid w:val="00B705EA"/>
    <w:rsid w:val="00B71666"/>
    <w:rsid w:val="00B71E38"/>
    <w:rsid w:val="00B71FF0"/>
    <w:rsid w:val="00B7204C"/>
    <w:rsid w:val="00B731D8"/>
    <w:rsid w:val="00B7339D"/>
    <w:rsid w:val="00B736E7"/>
    <w:rsid w:val="00B75687"/>
    <w:rsid w:val="00B75770"/>
    <w:rsid w:val="00B76912"/>
    <w:rsid w:val="00B77E7E"/>
    <w:rsid w:val="00B801F0"/>
    <w:rsid w:val="00B83807"/>
    <w:rsid w:val="00B84F52"/>
    <w:rsid w:val="00B855ED"/>
    <w:rsid w:val="00B86969"/>
    <w:rsid w:val="00B87712"/>
    <w:rsid w:val="00B916B6"/>
    <w:rsid w:val="00B93154"/>
    <w:rsid w:val="00B93E90"/>
    <w:rsid w:val="00B964AE"/>
    <w:rsid w:val="00BA0A71"/>
    <w:rsid w:val="00BA104C"/>
    <w:rsid w:val="00BA17C2"/>
    <w:rsid w:val="00BA1E8D"/>
    <w:rsid w:val="00BA261C"/>
    <w:rsid w:val="00BA2E4C"/>
    <w:rsid w:val="00BA3CFB"/>
    <w:rsid w:val="00BA444C"/>
    <w:rsid w:val="00BA4AE1"/>
    <w:rsid w:val="00BA6771"/>
    <w:rsid w:val="00BA795D"/>
    <w:rsid w:val="00BB0644"/>
    <w:rsid w:val="00BB0909"/>
    <w:rsid w:val="00BB1A12"/>
    <w:rsid w:val="00BB1B12"/>
    <w:rsid w:val="00BB242D"/>
    <w:rsid w:val="00BB2847"/>
    <w:rsid w:val="00BB30D3"/>
    <w:rsid w:val="00BB405D"/>
    <w:rsid w:val="00BB5896"/>
    <w:rsid w:val="00BB5AE2"/>
    <w:rsid w:val="00BB5BE3"/>
    <w:rsid w:val="00BB689F"/>
    <w:rsid w:val="00BB7493"/>
    <w:rsid w:val="00BB7869"/>
    <w:rsid w:val="00BB7B3B"/>
    <w:rsid w:val="00BC0B0F"/>
    <w:rsid w:val="00BC31E1"/>
    <w:rsid w:val="00BC36C3"/>
    <w:rsid w:val="00BC3A8E"/>
    <w:rsid w:val="00BC44B5"/>
    <w:rsid w:val="00BC4599"/>
    <w:rsid w:val="00BC555F"/>
    <w:rsid w:val="00BC63F9"/>
    <w:rsid w:val="00BD0C8E"/>
    <w:rsid w:val="00BD1051"/>
    <w:rsid w:val="00BD2321"/>
    <w:rsid w:val="00BD5AD7"/>
    <w:rsid w:val="00BD5F56"/>
    <w:rsid w:val="00BD6123"/>
    <w:rsid w:val="00BD7B57"/>
    <w:rsid w:val="00BD7C1A"/>
    <w:rsid w:val="00BE03F0"/>
    <w:rsid w:val="00BE092D"/>
    <w:rsid w:val="00BE0CA8"/>
    <w:rsid w:val="00BE0F48"/>
    <w:rsid w:val="00BE36FB"/>
    <w:rsid w:val="00BE3BA5"/>
    <w:rsid w:val="00BE4B7D"/>
    <w:rsid w:val="00BE7885"/>
    <w:rsid w:val="00BE79F4"/>
    <w:rsid w:val="00BF1769"/>
    <w:rsid w:val="00BF2BCB"/>
    <w:rsid w:val="00BF3702"/>
    <w:rsid w:val="00BF391E"/>
    <w:rsid w:val="00BF4361"/>
    <w:rsid w:val="00BF5BB8"/>
    <w:rsid w:val="00BF61FB"/>
    <w:rsid w:val="00BF7ADA"/>
    <w:rsid w:val="00C01AEA"/>
    <w:rsid w:val="00C02494"/>
    <w:rsid w:val="00C02964"/>
    <w:rsid w:val="00C02B0D"/>
    <w:rsid w:val="00C04AFD"/>
    <w:rsid w:val="00C07CC9"/>
    <w:rsid w:val="00C07DBA"/>
    <w:rsid w:val="00C10C4B"/>
    <w:rsid w:val="00C11A17"/>
    <w:rsid w:val="00C11A47"/>
    <w:rsid w:val="00C11FAE"/>
    <w:rsid w:val="00C12C1A"/>
    <w:rsid w:val="00C1321A"/>
    <w:rsid w:val="00C13711"/>
    <w:rsid w:val="00C13BB9"/>
    <w:rsid w:val="00C14E7F"/>
    <w:rsid w:val="00C155D6"/>
    <w:rsid w:val="00C1561B"/>
    <w:rsid w:val="00C15B1E"/>
    <w:rsid w:val="00C163E0"/>
    <w:rsid w:val="00C16461"/>
    <w:rsid w:val="00C177C7"/>
    <w:rsid w:val="00C17C5E"/>
    <w:rsid w:val="00C20E6B"/>
    <w:rsid w:val="00C210F0"/>
    <w:rsid w:val="00C21CF5"/>
    <w:rsid w:val="00C235EF"/>
    <w:rsid w:val="00C26A00"/>
    <w:rsid w:val="00C2733F"/>
    <w:rsid w:val="00C27CAA"/>
    <w:rsid w:val="00C32146"/>
    <w:rsid w:val="00C33392"/>
    <w:rsid w:val="00C3370F"/>
    <w:rsid w:val="00C34E8C"/>
    <w:rsid w:val="00C359ED"/>
    <w:rsid w:val="00C36724"/>
    <w:rsid w:val="00C36CA5"/>
    <w:rsid w:val="00C37CF6"/>
    <w:rsid w:val="00C4039A"/>
    <w:rsid w:val="00C40735"/>
    <w:rsid w:val="00C40F62"/>
    <w:rsid w:val="00C42CFF"/>
    <w:rsid w:val="00C4634B"/>
    <w:rsid w:val="00C46AFB"/>
    <w:rsid w:val="00C46DE5"/>
    <w:rsid w:val="00C46F7D"/>
    <w:rsid w:val="00C51626"/>
    <w:rsid w:val="00C528C2"/>
    <w:rsid w:val="00C52DDC"/>
    <w:rsid w:val="00C56366"/>
    <w:rsid w:val="00C56416"/>
    <w:rsid w:val="00C5791E"/>
    <w:rsid w:val="00C64ED4"/>
    <w:rsid w:val="00C65247"/>
    <w:rsid w:val="00C66F7B"/>
    <w:rsid w:val="00C672FE"/>
    <w:rsid w:val="00C70A96"/>
    <w:rsid w:val="00C70AF6"/>
    <w:rsid w:val="00C72EB5"/>
    <w:rsid w:val="00C730B4"/>
    <w:rsid w:val="00C73111"/>
    <w:rsid w:val="00C737A7"/>
    <w:rsid w:val="00C74EF8"/>
    <w:rsid w:val="00C75E90"/>
    <w:rsid w:val="00C775E6"/>
    <w:rsid w:val="00C7782C"/>
    <w:rsid w:val="00C82D50"/>
    <w:rsid w:val="00C83C3B"/>
    <w:rsid w:val="00C83CE6"/>
    <w:rsid w:val="00C85F62"/>
    <w:rsid w:val="00C8621A"/>
    <w:rsid w:val="00C91B6D"/>
    <w:rsid w:val="00C9200B"/>
    <w:rsid w:val="00C92FC1"/>
    <w:rsid w:val="00C939ED"/>
    <w:rsid w:val="00C9511B"/>
    <w:rsid w:val="00C95BFB"/>
    <w:rsid w:val="00C95F09"/>
    <w:rsid w:val="00CA0B18"/>
    <w:rsid w:val="00CA1CCE"/>
    <w:rsid w:val="00CA1E7D"/>
    <w:rsid w:val="00CA4E84"/>
    <w:rsid w:val="00CA4ECB"/>
    <w:rsid w:val="00CA5E64"/>
    <w:rsid w:val="00CA696D"/>
    <w:rsid w:val="00CA6DDE"/>
    <w:rsid w:val="00CA7D76"/>
    <w:rsid w:val="00CA7DFA"/>
    <w:rsid w:val="00CB0E41"/>
    <w:rsid w:val="00CB171A"/>
    <w:rsid w:val="00CB1D90"/>
    <w:rsid w:val="00CB20A7"/>
    <w:rsid w:val="00CB3F15"/>
    <w:rsid w:val="00CB55E4"/>
    <w:rsid w:val="00CB5B4E"/>
    <w:rsid w:val="00CB6698"/>
    <w:rsid w:val="00CB69B5"/>
    <w:rsid w:val="00CC04F8"/>
    <w:rsid w:val="00CC11AC"/>
    <w:rsid w:val="00CC1648"/>
    <w:rsid w:val="00CC18ED"/>
    <w:rsid w:val="00CC3020"/>
    <w:rsid w:val="00CC3757"/>
    <w:rsid w:val="00CC37FF"/>
    <w:rsid w:val="00CC3A00"/>
    <w:rsid w:val="00CC3A46"/>
    <w:rsid w:val="00CC439E"/>
    <w:rsid w:val="00CC7A85"/>
    <w:rsid w:val="00CC7B66"/>
    <w:rsid w:val="00CC7C7E"/>
    <w:rsid w:val="00CD1AFD"/>
    <w:rsid w:val="00CD21EB"/>
    <w:rsid w:val="00CD431D"/>
    <w:rsid w:val="00CD479E"/>
    <w:rsid w:val="00CD54E3"/>
    <w:rsid w:val="00CD579F"/>
    <w:rsid w:val="00CD6311"/>
    <w:rsid w:val="00CD7235"/>
    <w:rsid w:val="00CD7980"/>
    <w:rsid w:val="00CE082C"/>
    <w:rsid w:val="00CE1BFB"/>
    <w:rsid w:val="00CE29EA"/>
    <w:rsid w:val="00CE3608"/>
    <w:rsid w:val="00CE385B"/>
    <w:rsid w:val="00CE38B1"/>
    <w:rsid w:val="00CE58BD"/>
    <w:rsid w:val="00CE655B"/>
    <w:rsid w:val="00CE66D1"/>
    <w:rsid w:val="00CF0038"/>
    <w:rsid w:val="00CF026C"/>
    <w:rsid w:val="00CF0AD9"/>
    <w:rsid w:val="00CF1474"/>
    <w:rsid w:val="00CF153C"/>
    <w:rsid w:val="00CF1AD3"/>
    <w:rsid w:val="00CF3EB3"/>
    <w:rsid w:val="00CF4D0E"/>
    <w:rsid w:val="00CF4FF2"/>
    <w:rsid w:val="00CF556C"/>
    <w:rsid w:val="00D00660"/>
    <w:rsid w:val="00D03DB4"/>
    <w:rsid w:val="00D0409F"/>
    <w:rsid w:val="00D04D89"/>
    <w:rsid w:val="00D0500F"/>
    <w:rsid w:val="00D062BF"/>
    <w:rsid w:val="00D0672A"/>
    <w:rsid w:val="00D0757D"/>
    <w:rsid w:val="00D1052E"/>
    <w:rsid w:val="00D11AC0"/>
    <w:rsid w:val="00D13767"/>
    <w:rsid w:val="00D13973"/>
    <w:rsid w:val="00D140D8"/>
    <w:rsid w:val="00D140FF"/>
    <w:rsid w:val="00D1744D"/>
    <w:rsid w:val="00D22055"/>
    <w:rsid w:val="00D223D9"/>
    <w:rsid w:val="00D23237"/>
    <w:rsid w:val="00D23293"/>
    <w:rsid w:val="00D23D2A"/>
    <w:rsid w:val="00D24AD7"/>
    <w:rsid w:val="00D25E59"/>
    <w:rsid w:val="00D326F7"/>
    <w:rsid w:val="00D327CA"/>
    <w:rsid w:val="00D32B33"/>
    <w:rsid w:val="00D33086"/>
    <w:rsid w:val="00D33C0C"/>
    <w:rsid w:val="00D34420"/>
    <w:rsid w:val="00D34781"/>
    <w:rsid w:val="00D35C0A"/>
    <w:rsid w:val="00D3622B"/>
    <w:rsid w:val="00D371C6"/>
    <w:rsid w:val="00D400DE"/>
    <w:rsid w:val="00D40FDB"/>
    <w:rsid w:val="00D42B31"/>
    <w:rsid w:val="00D43A8B"/>
    <w:rsid w:val="00D445A3"/>
    <w:rsid w:val="00D44995"/>
    <w:rsid w:val="00D47460"/>
    <w:rsid w:val="00D475A9"/>
    <w:rsid w:val="00D47F66"/>
    <w:rsid w:val="00D5027E"/>
    <w:rsid w:val="00D510A5"/>
    <w:rsid w:val="00D51D3E"/>
    <w:rsid w:val="00D51E84"/>
    <w:rsid w:val="00D522D5"/>
    <w:rsid w:val="00D54C07"/>
    <w:rsid w:val="00D5595C"/>
    <w:rsid w:val="00D56349"/>
    <w:rsid w:val="00D56EA3"/>
    <w:rsid w:val="00D57DB4"/>
    <w:rsid w:val="00D61236"/>
    <w:rsid w:val="00D613F8"/>
    <w:rsid w:val="00D62FFB"/>
    <w:rsid w:val="00D64443"/>
    <w:rsid w:val="00D65E34"/>
    <w:rsid w:val="00D67376"/>
    <w:rsid w:val="00D67797"/>
    <w:rsid w:val="00D70251"/>
    <w:rsid w:val="00D71345"/>
    <w:rsid w:val="00D7141E"/>
    <w:rsid w:val="00D71FFE"/>
    <w:rsid w:val="00D72334"/>
    <w:rsid w:val="00D754DB"/>
    <w:rsid w:val="00D75B90"/>
    <w:rsid w:val="00D766A9"/>
    <w:rsid w:val="00D774AD"/>
    <w:rsid w:val="00D77698"/>
    <w:rsid w:val="00D77A46"/>
    <w:rsid w:val="00D77EA5"/>
    <w:rsid w:val="00D808F3"/>
    <w:rsid w:val="00D80B80"/>
    <w:rsid w:val="00D82D66"/>
    <w:rsid w:val="00D8407F"/>
    <w:rsid w:val="00D84CDB"/>
    <w:rsid w:val="00D87130"/>
    <w:rsid w:val="00D901DA"/>
    <w:rsid w:val="00D91CB7"/>
    <w:rsid w:val="00D9212D"/>
    <w:rsid w:val="00D9301A"/>
    <w:rsid w:val="00D93EEB"/>
    <w:rsid w:val="00D95870"/>
    <w:rsid w:val="00DA3543"/>
    <w:rsid w:val="00DA4EC6"/>
    <w:rsid w:val="00DA6858"/>
    <w:rsid w:val="00DA788D"/>
    <w:rsid w:val="00DA789D"/>
    <w:rsid w:val="00DB0261"/>
    <w:rsid w:val="00DB22BD"/>
    <w:rsid w:val="00DB27B9"/>
    <w:rsid w:val="00DB27BE"/>
    <w:rsid w:val="00DB3CE5"/>
    <w:rsid w:val="00DB54E5"/>
    <w:rsid w:val="00DB63A0"/>
    <w:rsid w:val="00DB7CE4"/>
    <w:rsid w:val="00DC0DF9"/>
    <w:rsid w:val="00DC2199"/>
    <w:rsid w:val="00DC281D"/>
    <w:rsid w:val="00DC3060"/>
    <w:rsid w:val="00DC31F0"/>
    <w:rsid w:val="00DC4383"/>
    <w:rsid w:val="00DC44F2"/>
    <w:rsid w:val="00DC4BCC"/>
    <w:rsid w:val="00DD2E4B"/>
    <w:rsid w:val="00DD3D3A"/>
    <w:rsid w:val="00DD5FEB"/>
    <w:rsid w:val="00DE3BA1"/>
    <w:rsid w:val="00DE509F"/>
    <w:rsid w:val="00DE5212"/>
    <w:rsid w:val="00DE7B2A"/>
    <w:rsid w:val="00DF2DA2"/>
    <w:rsid w:val="00DF3FC1"/>
    <w:rsid w:val="00DF41A3"/>
    <w:rsid w:val="00DF543F"/>
    <w:rsid w:val="00DF555B"/>
    <w:rsid w:val="00E00203"/>
    <w:rsid w:val="00E00A13"/>
    <w:rsid w:val="00E02219"/>
    <w:rsid w:val="00E02842"/>
    <w:rsid w:val="00E02921"/>
    <w:rsid w:val="00E0308C"/>
    <w:rsid w:val="00E034F3"/>
    <w:rsid w:val="00E045A4"/>
    <w:rsid w:val="00E05C67"/>
    <w:rsid w:val="00E05C75"/>
    <w:rsid w:val="00E068ED"/>
    <w:rsid w:val="00E1043F"/>
    <w:rsid w:val="00E104CA"/>
    <w:rsid w:val="00E110E7"/>
    <w:rsid w:val="00E136B4"/>
    <w:rsid w:val="00E15E45"/>
    <w:rsid w:val="00E17E60"/>
    <w:rsid w:val="00E200C2"/>
    <w:rsid w:val="00E208DB"/>
    <w:rsid w:val="00E2242C"/>
    <w:rsid w:val="00E2245B"/>
    <w:rsid w:val="00E23236"/>
    <w:rsid w:val="00E23589"/>
    <w:rsid w:val="00E2373B"/>
    <w:rsid w:val="00E2395C"/>
    <w:rsid w:val="00E2489E"/>
    <w:rsid w:val="00E24B34"/>
    <w:rsid w:val="00E24EA1"/>
    <w:rsid w:val="00E268A1"/>
    <w:rsid w:val="00E32618"/>
    <w:rsid w:val="00E3307E"/>
    <w:rsid w:val="00E333B8"/>
    <w:rsid w:val="00E3390D"/>
    <w:rsid w:val="00E34361"/>
    <w:rsid w:val="00E34768"/>
    <w:rsid w:val="00E366F3"/>
    <w:rsid w:val="00E367A4"/>
    <w:rsid w:val="00E370A0"/>
    <w:rsid w:val="00E3745A"/>
    <w:rsid w:val="00E37AE2"/>
    <w:rsid w:val="00E37CAA"/>
    <w:rsid w:val="00E40DAD"/>
    <w:rsid w:val="00E40E16"/>
    <w:rsid w:val="00E41003"/>
    <w:rsid w:val="00E41BB8"/>
    <w:rsid w:val="00E43183"/>
    <w:rsid w:val="00E43C22"/>
    <w:rsid w:val="00E43E02"/>
    <w:rsid w:val="00E441A3"/>
    <w:rsid w:val="00E44333"/>
    <w:rsid w:val="00E46FBF"/>
    <w:rsid w:val="00E47311"/>
    <w:rsid w:val="00E47A36"/>
    <w:rsid w:val="00E50810"/>
    <w:rsid w:val="00E50DE8"/>
    <w:rsid w:val="00E51D6C"/>
    <w:rsid w:val="00E5227A"/>
    <w:rsid w:val="00E52582"/>
    <w:rsid w:val="00E52B8F"/>
    <w:rsid w:val="00E54A71"/>
    <w:rsid w:val="00E54C72"/>
    <w:rsid w:val="00E550CB"/>
    <w:rsid w:val="00E55A4D"/>
    <w:rsid w:val="00E5727B"/>
    <w:rsid w:val="00E624B0"/>
    <w:rsid w:val="00E64CDF"/>
    <w:rsid w:val="00E65DBC"/>
    <w:rsid w:val="00E65DBD"/>
    <w:rsid w:val="00E6604C"/>
    <w:rsid w:val="00E70B94"/>
    <w:rsid w:val="00E710E4"/>
    <w:rsid w:val="00E723A0"/>
    <w:rsid w:val="00E72D55"/>
    <w:rsid w:val="00E73DE4"/>
    <w:rsid w:val="00E750CF"/>
    <w:rsid w:val="00E7519C"/>
    <w:rsid w:val="00E80B22"/>
    <w:rsid w:val="00E828E7"/>
    <w:rsid w:val="00E83D73"/>
    <w:rsid w:val="00E8414E"/>
    <w:rsid w:val="00E84383"/>
    <w:rsid w:val="00E84766"/>
    <w:rsid w:val="00E8499F"/>
    <w:rsid w:val="00E84BE7"/>
    <w:rsid w:val="00E85297"/>
    <w:rsid w:val="00E85617"/>
    <w:rsid w:val="00E87973"/>
    <w:rsid w:val="00E87F1D"/>
    <w:rsid w:val="00E90323"/>
    <w:rsid w:val="00E9046E"/>
    <w:rsid w:val="00E907BC"/>
    <w:rsid w:val="00E92F94"/>
    <w:rsid w:val="00E946E5"/>
    <w:rsid w:val="00E95B65"/>
    <w:rsid w:val="00E95C19"/>
    <w:rsid w:val="00E9692A"/>
    <w:rsid w:val="00E97C80"/>
    <w:rsid w:val="00E97E79"/>
    <w:rsid w:val="00EA22A8"/>
    <w:rsid w:val="00EA3B92"/>
    <w:rsid w:val="00EA489A"/>
    <w:rsid w:val="00EA4960"/>
    <w:rsid w:val="00EA4DE9"/>
    <w:rsid w:val="00EA540B"/>
    <w:rsid w:val="00EA5832"/>
    <w:rsid w:val="00EA669C"/>
    <w:rsid w:val="00EA716F"/>
    <w:rsid w:val="00EA75E8"/>
    <w:rsid w:val="00EB127A"/>
    <w:rsid w:val="00EB159E"/>
    <w:rsid w:val="00EB2037"/>
    <w:rsid w:val="00EB4C4C"/>
    <w:rsid w:val="00EB6FBD"/>
    <w:rsid w:val="00EC0C56"/>
    <w:rsid w:val="00EC145C"/>
    <w:rsid w:val="00EC2054"/>
    <w:rsid w:val="00EC26FD"/>
    <w:rsid w:val="00EC2ACD"/>
    <w:rsid w:val="00EC32EC"/>
    <w:rsid w:val="00EC349B"/>
    <w:rsid w:val="00EC352E"/>
    <w:rsid w:val="00EC3862"/>
    <w:rsid w:val="00EC3BC9"/>
    <w:rsid w:val="00EC3E8B"/>
    <w:rsid w:val="00EC4AD2"/>
    <w:rsid w:val="00EC4D63"/>
    <w:rsid w:val="00EC519D"/>
    <w:rsid w:val="00EC5612"/>
    <w:rsid w:val="00EC7C11"/>
    <w:rsid w:val="00ED046B"/>
    <w:rsid w:val="00ED089E"/>
    <w:rsid w:val="00ED09AA"/>
    <w:rsid w:val="00ED374A"/>
    <w:rsid w:val="00ED39A8"/>
    <w:rsid w:val="00ED4117"/>
    <w:rsid w:val="00ED4353"/>
    <w:rsid w:val="00ED47EE"/>
    <w:rsid w:val="00ED5160"/>
    <w:rsid w:val="00ED6CC8"/>
    <w:rsid w:val="00ED7DD1"/>
    <w:rsid w:val="00EE0FA6"/>
    <w:rsid w:val="00EE4EE8"/>
    <w:rsid w:val="00EE68A2"/>
    <w:rsid w:val="00EE6998"/>
    <w:rsid w:val="00EE70A1"/>
    <w:rsid w:val="00EF18A7"/>
    <w:rsid w:val="00EF211E"/>
    <w:rsid w:val="00EF264B"/>
    <w:rsid w:val="00EF2924"/>
    <w:rsid w:val="00EF2E8C"/>
    <w:rsid w:val="00EF5761"/>
    <w:rsid w:val="00EF64CA"/>
    <w:rsid w:val="00EF66DE"/>
    <w:rsid w:val="00EF78B5"/>
    <w:rsid w:val="00F003A6"/>
    <w:rsid w:val="00F00A70"/>
    <w:rsid w:val="00F01B98"/>
    <w:rsid w:val="00F02346"/>
    <w:rsid w:val="00F0343A"/>
    <w:rsid w:val="00F051F3"/>
    <w:rsid w:val="00F053E9"/>
    <w:rsid w:val="00F05DD1"/>
    <w:rsid w:val="00F076C2"/>
    <w:rsid w:val="00F07F1F"/>
    <w:rsid w:val="00F10E38"/>
    <w:rsid w:val="00F11F09"/>
    <w:rsid w:val="00F122E9"/>
    <w:rsid w:val="00F12A0B"/>
    <w:rsid w:val="00F162A9"/>
    <w:rsid w:val="00F16716"/>
    <w:rsid w:val="00F170B1"/>
    <w:rsid w:val="00F201F0"/>
    <w:rsid w:val="00F20A32"/>
    <w:rsid w:val="00F21E67"/>
    <w:rsid w:val="00F238B2"/>
    <w:rsid w:val="00F249A4"/>
    <w:rsid w:val="00F24B81"/>
    <w:rsid w:val="00F2563E"/>
    <w:rsid w:val="00F25835"/>
    <w:rsid w:val="00F262BF"/>
    <w:rsid w:val="00F27014"/>
    <w:rsid w:val="00F279C6"/>
    <w:rsid w:val="00F27C83"/>
    <w:rsid w:val="00F30B12"/>
    <w:rsid w:val="00F318BC"/>
    <w:rsid w:val="00F335B6"/>
    <w:rsid w:val="00F339A9"/>
    <w:rsid w:val="00F34312"/>
    <w:rsid w:val="00F35726"/>
    <w:rsid w:val="00F35EF1"/>
    <w:rsid w:val="00F37678"/>
    <w:rsid w:val="00F40DF2"/>
    <w:rsid w:val="00F45AE4"/>
    <w:rsid w:val="00F46550"/>
    <w:rsid w:val="00F47EB2"/>
    <w:rsid w:val="00F50234"/>
    <w:rsid w:val="00F50C11"/>
    <w:rsid w:val="00F512DD"/>
    <w:rsid w:val="00F5153D"/>
    <w:rsid w:val="00F516DB"/>
    <w:rsid w:val="00F54346"/>
    <w:rsid w:val="00F548EB"/>
    <w:rsid w:val="00F55ED2"/>
    <w:rsid w:val="00F57866"/>
    <w:rsid w:val="00F57C2A"/>
    <w:rsid w:val="00F60C60"/>
    <w:rsid w:val="00F61D23"/>
    <w:rsid w:val="00F63B67"/>
    <w:rsid w:val="00F64170"/>
    <w:rsid w:val="00F64771"/>
    <w:rsid w:val="00F67170"/>
    <w:rsid w:val="00F6746B"/>
    <w:rsid w:val="00F71751"/>
    <w:rsid w:val="00F72016"/>
    <w:rsid w:val="00F72472"/>
    <w:rsid w:val="00F7279F"/>
    <w:rsid w:val="00F72ABB"/>
    <w:rsid w:val="00F72EEB"/>
    <w:rsid w:val="00F7408E"/>
    <w:rsid w:val="00F75B8B"/>
    <w:rsid w:val="00F81812"/>
    <w:rsid w:val="00F81966"/>
    <w:rsid w:val="00F81D5A"/>
    <w:rsid w:val="00F82C67"/>
    <w:rsid w:val="00F82F63"/>
    <w:rsid w:val="00F839FB"/>
    <w:rsid w:val="00F8427A"/>
    <w:rsid w:val="00F849CD"/>
    <w:rsid w:val="00F854A3"/>
    <w:rsid w:val="00F859A2"/>
    <w:rsid w:val="00F8675D"/>
    <w:rsid w:val="00F86B02"/>
    <w:rsid w:val="00F86FE0"/>
    <w:rsid w:val="00F87A7E"/>
    <w:rsid w:val="00F95645"/>
    <w:rsid w:val="00F95659"/>
    <w:rsid w:val="00F95A14"/>
    <w:rsid w:val="00F96231"/>
    <w:rsid w:val="00F96850"/>
    <w:rsid w:val="00F96B6C"/>
    <w:rsid w:val="00F97733"/>
    <w:rsid w:val="00F97787"/>
    <w:rsid w:val="00F97F15"/>
    <w:rsid w:val="00FA0112"/>
    <w:rsid w:val="00FA0654"/>
    <w:rsid w:val="00FA141F"/>
    <w:rsid w:val="00FA2186"/>
    <w:rsid w:val="00FA33FA"/>
    <w:rsid w:val="00FA5216"/>
    <w:rsid w:val="00FA5311"/>
    <w:rsid w:val="00FA5F41"/>
    <w:rsid w:val="00FA74BB"/>
    <w:rsid w:val="00FA74E0"/>
    <w:rsid w:val="00FA7DE6"/>
    <w:rsid w:val="00FB20DF"/>
    <w:rsid w:val="00FB2325"/>
    <w:rsid w:val="00FB35A6"/>
    <w:rsid w:val="00FB3FBC"/>
    <w:rsid w:val="00FB66D6"/>
    <w:rsid w:val="00FB6FEE"/>
    <w:rsid w:val="00FC02E3"/>
    <w:rsid w:val="00FC081F"/>
    <w:rsid w:val="00FC1DDB"/>
    <w:rsid w:val="00FC1F6E"/>
    <w:rsid w:val="00FC34F8"/>
    <w:rsid w:val="00FC5C02"/>
    <w:rsid w:val="00FC629D"/>
    <w:rsid w:val="00FC64AC"/>
    <w:rsid w:val="00FC6998"/>
    <w:rsid w:val="00FC71EA"/>
    <w:rsid w:val="00FC760B"/>
    <w:rsid w:val="00FD023F"/>
    <w:rsid w:val="00FD10AD"/>
    <w:rsid w:val="00FD2DD0"/>
    <w:rsid w:val="00FD3DB2"/>
    <w:rsid w:val="00FD5366"/>
    <w:rsid w:val="00FD5416"/>
    <w:rsid w:val="00FD5467"/>
    <w:rsid w:val="00FD5C08"/>
    <w:rsid w:val="00FE18A6"/>
    <w:rsid w:val="00FE211E"/>
    <w:rsid w:val="00FE2141"/>
    <w:rsid w:val="00FE25AA"/>
    <w:rsid w:val="00FE2648"/>
    <w:rsid w:val="00FE26D1"/>
    <w:rsid w:val="00FE4DF8"/>
    <w:rsid w:val="00FF0CBD"/>
    <w:rsid w:val="00FF17F5"/>
    <w:rsid w:val="00FF1B2B"/>
    <w:rsid w:val="00FF21B2"/>
    <w:rsid w:val="00FF2CB2"/>
    <w:rsid w:val="00FF2EF0"/>
    <w:rsid w:val="00FF43C8"/>
    <w:rsid w:val="00FF43F3"/>
    <w:rsid w:val="00FF46FD"/>
    <w:rsid w:val="00FF4769"/>
    <w:rsid w:val="00FF4B1D"/>
    <w:rsid w:val="00FF5D67"/>
    <w:rsid w:val="00FF6059"/>
    <w:rsid w:val="00FF70EC"/>
    <w:rsid w:val="00FF72FB"/>
    <w:rsid w:val="00FF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style="mso-position-horizontal:center" o:allowoverlap="f" fill="f" fillcolor="white" stroke="f">
      <v:fill color="white" on="f"/>
      <v:stroke on="f"/>
    </o:shapedefaults>
    <o:shapelayout v:ext="edit">
      <o:idmap v:ext="edit" data="1"/>
    </o:shapelayout>
  </w:shapeDefaults>
  <w:decimalSymbol w:val="."/>
  <w:listSeparator w:val=","/>
  <w15:docId w15:val="{AF4399F5-A96A-4FB6-AD2C-02A8EE3C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BFA"/>
    <w:rPr>
      <w:sz w:val="24"/>
      <w:szCs w:val="24"/>
    </w:rPr>
  </w:style>
  <w:style w:type="paragraph" w:styleId="Heading1">
    <w:name w:val="heading 1"/>
    <w:basedOn w:val="Normal"/>
    <w:next w:val="Normal"/>
    <w:qFormat/>
    <w:rsid w:val="008E73D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81939"/>
    <w:pPr>
      <w:keepNext/>
      <w:widowControl w:val="0"/>
      <w:autoSpaceDE w:val="0"/>
      <w:autoSpaceDN w:val="0"/>
      <w:adjustRightInd w:val="0"/>
      <w:outlineLvl w:val="1"/>
    </w:pPr>
    <w:rPr>
      <w:rFonts w:ascii="Lucida Sans" w:hAnsi="Lucida Sans" w:cs="Lucida Sans"/>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1939"/>
    <w:rPr>
      <w:rFonts w:ascii="Tahoma" w:hAnsi="Tahoma" w:cs="Tahoma"/>
      <w:sz w:val="16"/>
      <w:szCs w:val="16"/>
    </w:rPr>
  </w:style>
  <w:style w:type="table" w:styleId="TableGrid">
    <w:name w:val="Table Grid"/>
    <w:basedOn w:val="TableNormal"/>
    <w:rsid w:val="00C11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rsid w:val="0044056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footnoteref">
    <w:name w:val="footnote ref"/>
    <w:rsid w:val="00CE58BD"/>
  </w:style>
  <w:style w:type="paragraph" w:styleId="BodyText">
    <w:name w:val="Body Text"/>
    <w:basedOn w:val="Normal"/>
    <w:rsid w:val="00CE58BD"/>
    <w:pPr>
      <w:tabs>
        <w:tab w:val="left" w:pos="540"/>
        <w:tab w:val="left" w:pos="1080"/>
        <w:tab w:val="left" w:pos="1620"/>
        <w:tab w:val="left" w:pos="5040"/>
      </w:tabs>
      <w:jc w:val="both"/>
    </w:pPr>
    <w:rPr>
      <w:snapToGrid w:val="0"/>
      <w:szCs w:val="20"/>
    </w:rPr>
  </w:style>
  <w:style w:type="paragraph" w:styleId="Header">
    <w:name w:val="header"/>
    <w:basedOn w:val="Normal"/>
    <w:rsid w:val="00CE58BD"/>
    <w:pPr>
      <w:widowControl w:val="0"/>
      <w:tabs>
        <w:tab w:val="center" w:pos="4320"/>
        <w:tab w:val="right" w:pos="8640"/>
      </w:tabs>
    </w:pPr>
    <w:rPr>
      <w:rFonts w:ascii="Arial" w:hAnsi="Arial"/>
      <w:snapToGrid w:val="0"/>
      <w:szCs w:val="20"/>
    </w:rPr>
  </w:style>
  <w:style w:type="paragraph" w:styleId="Footer">
    <w:name w:val="footer"/>
    <w:basedOn w:val="Normal"/>
    <w:link w:val="FooterChar"/>
    <w:uiPriority w:val="99"/>
    <w:rsid w:val="0088452D"/>
    <w:pPr>
      <w:tabs>
        <w:tab w:val="center" w:pos="4320"/>
        <w:tab w:val="right" w:pos="8640"/>
      </w:tabs>
    </w:pPr>
  </w:style>
  <w:style w:type="character" w:styleId="PageNumber">
    <w:name w:val="page number"/>
    <w:basedOn w:val="DefaultParagraphFont"/>
    <w:rsid w:val="0088452D"/>
  </w:style>
  <w:style w:type="character" w:styleId="FootnoteReference">
    <w:name w:val="footnote reference"/>
    <w:semiHidden/>
    <w:rsid w:val="00FB20DF"/>
  </w:style>
  <w:style w:type="paragraph" w:styleId="BodyTextIndent">
    <w:name w:val="Body Text Indent"/>
    <w:basedOn w:val="Normal"/>
    <w:rsid w:val="00E47311"/>
    <w:pPr>
      <w:spacing w:after="120"/>
      <w:ind w:left="360"/>
    </w:pPr>
  </w:style>
  <w:style w:type="paragraph" w:styleId="BodyText2">
    <w:name w:val="Body Text 2"/>
    <w:basedOn w:val="Normal"/>
    <w:rsid w:val="00EC145C"/>
    <w:pPr>
      <w:spacing w:after="120" w:line="480" w:lineRule="auto"/>
    </w:pPr>
  </w:style>
  <w:style w:type="character" w:customStyle="1" w:styleId="ESRollForward">
    <w:name w:val="ES_Roll_Forward"/>
    <w:rsid w:val="00A765EA"/>
    <w:rPr>
      <w:color w:val="008000"/>
    </w:rPr>
  </w:style>
  <w:style w:type="paragraph" w:styleId="NormalWeb">
    <w:name w:val="Normal (Web)"/>
    <w:basedOn w:val="Normal"/>
    <w:rsid w:val="007D58B7"/>
    <w:pPr>
      <w:spacing w:before="100" w:beforeAutospacing="1" w:after="100" w:afterAutospacing="1"/>
    </w:pPr>
  </w:style>
  <w:style w:type="paragraph" w:styleId="FootnoteText">
    <w:name w:val="footnote text"/>
    <w:basedOn w:val="Normal"/>
    <w:link w:val="FootnoteTextChar"/>
    <w:rsid w:val="00797AB0"/>
    <w:rPr>
      <w:rFonts w:cs="Arial"/>
      <w:sz w:val="20"/>
      <w:szCs w:val="20"/>
    </w:rPr>
  </w:style>
  <w:style w:type="character" w:customStyle="1" w:styleId="FootnoteTextChar">
    <w:name w:val="Footnote Text Char"/>
    <w:basedOn w:val="DefaultParagraphFont"/>
    <w:link w:val="FootnoteText"/>
    <w:rsid w:val="00797AB0"/>
    <w:rPr>
      <w:rFonts w:cs="Arial"/>
    </w:rPr>
  </w:style>
  <w:style w:type="character" w:customStyle="1" w:styleId="FooterChar">
    <w:name w:val="Footer Char"/>
    <w:basedOn w:val="DefaultParagraphFont"/>
    <w:link w:val="Footer"/>
    <w:uiPriority w:val="99"/>
    <w:rsid w:val="00797AB0"/>
    <w:rPr>
      <w:sz w:val="24"/>
      <w:szCs w:val="24"/>
    </w:rPr>
  </w:style>
  <w:style w:type="paragraph" w:styleId="ListParagraph">
    <w:name w:val="List Paragraph"/>
    <w:basedOn w:val="Normal"/>
    <w:uiPriority w:val="34"/>
    <w:qFormat/>
    <w:rsid w:val="00E200C2"/>
    <w:pPr>
      <w:ind w:left="720"/>
      <w:contextualSpacing/>
    </w:pPr>
  </w:style>
  <w:style w:type="paragraph" w:customStyle="1" w:styleId="Default">
    <w:name w:val="Default"/>
    <w:rsid w:val="00B57AE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6362">
      <w:bodyDiv w:val="1"/>
      <w:marLeft w:val="0"/>
      <w:marRight w:val="0"/>
      <w:marTop w:val="0"/>
      <w:marBottom w:val="0"/>
      <w:divBdr>
        <w:top w:val="none" w:sz="0" w:space="0" w:color="auto"/>
        <w:left w:val="none" w:sz="0" w:space="0" w:color="auto"/>
        <w:bottom w:val="none" w:sz="0" w:space="0" w:color="auto"/>
        <w:right w:val="none" w:sz="0" w:space="0" w:color="auto"/>
      </w:divBdr>
    </w:div>
    <w:div w:id="47338422">
      <w:bodyDiv w:val="1"/>
      <w:marLeft w:val="0"/>
      <w:marRight w:val="0"/>
      <w:marTop w:val="0"/>
      <w:marBottom w:val="0"/>
      <w:divBdr>
        <w:top w:val="none" w:sz="0" w:space="0" w:color="auto"/>
        <w:left w:val="none" w:sz="0" w:space="0" w:color="auto"/>
        <w:bottom w:val="none" w:sz="0" w:space="0" w:color="auto"/>
        <w:right w:val="none" w:sz="0" w:space="0" w:color="auto"/>
      </w:divBdr>
    </w:div>
    <w:div w:id="61956029">
      <w:bodyDiv w:val="1"/>
      <w:marLeft w:val="0"/>
      <w:marRight w:val="0"/>
      <w:marTop w:val="0"/>
      <w:marBottom w:val="0"/>
      <w:divBdr>
        <w:top w:val="none" w:sz="0" w:space="0" w:color="auto"/>
        <w:left w:val="none" w:sz="0" w:space="0" w:color="auto"/>
        <w:bottom w:val="none" w:sz="0" w:space="0" w:color="auto"/>
        <w:right w:val="none" w:sz="0" w:space="0" w:color="auto"/>
      </w:divBdr>
    </w:div>
    <w:div w:id="203178768">
      <w:bodyDiv w:val="1"/>
      <w:marLeft w:val="0"/>
      <w:marRight w:val="0"/>
      <w:marTop w:val="0"/>
      <w:marBottom w:val="0"/>
      <w:divBdr>
        <w:top w:val="none" w:sz="0" w:space="0" w:color="auto"/>
        <w:left w:val="none" w:sz="0" w:space="0" w:color="auto"/>
        <w:bottom w:val="none" w:sz="0" w:space="0" w:color="auto"/>
        <w:right w:val="none" w:sz="0" w:space="0" w:color="auto"/>
      </w:divBdr>
    </w:div>
    <w:div w:id="204414689">
      <w:bodyDiv w:val="1"/>
      <w:marLeft w:val="0"/>
      <w:marRight w:val="0"/>
      <w:marTop w:val="0"/>
      <w:marBottom w:val="0"/>
      <w:divBdr>
        <w:top w:val="none" w:sz="0" w:space="0" w:color="auto"/>
        <w:left w:val="none" w:sz="0" w:space="0" w:color="auto"/>
        <w:bottom w:val="none" w:sz="0" w:space="0" w:color="auto"/>
        <w:right w:val="none" w:sz="0" w:space="0" w:color="auto"/>
      </w:divBdr>
    </w:div>
    <w:div w:id="221404839">
      <w:bodyDiv w:val="1"/>
      <w:marLeft w:val="0"/>
      <w:marRight w:val="0"/>
      <w:marTop w:val="0"/>
      <w:marBottom w:val="0"/>
      <w:divBdr>
        <w:top w:val="none" w:sz="0" w:space="0" w:color="auto"/>
        <w:left w:val="none" w:sz="0" w:space="0" w:color="auto"/>
        <w:bottom w:val="none" w:sz="0" w:space="0" w:color="auto"/>
        <w:right w:val="none" w:sz="0" w:space="0" w:color="auto"/>
      </w:divBdr>
    </w:div>
    <w:div w:id="242419200">
      <w:bodyDiv w:val="1"/>
      <w:marLeft w:val="0"/>
      <w:marRight w:val="0"/>
      <w:marTop w:val="0"/>
      <w:marBottom w:val="0"/>
      <w:divBdr>
        <w:top w:val="none" w:sz="0" w:space="0" w:color="auto"/>
        <w:left w:val="none" w:sz="0" w:space="0" w:color="auto"/>
        <w:bottom w:val="none" w:sz="0" w:space="0" w:color="auto"/>
        <w:right w:val="none" w:sz="0" w:space="0" w:color="auto"/>
      </w:divBdr>
    </w:div>
    <w:div w:id="290330416">
      <w:bodyDiv w:val="1"/>
      <w:marLeft w:val="0"/>
      <w:marRight w:val="0"/>
      <w:marTop w:val="0"/>
      <w:marBottom w:val="0"/>
      <w:divBdr>
        <w:top w:val="none" w:sz="0" w:space="0" w:color="auto"/>
        <w:left w:val="none" w:sz="0" w:space="0" w:color="auto"/>
        <w:bottom w:val="none" w:sz="0" w:space="0" w:color="auto"/>
        <w:right w:val="none" w:sz="0" w:space="0" w:color="auto"/>
      </w:divBdr>
    </w:div>
    <w:div w:id="299728537">
      <w:bodyDiv w:val="1"/>
      <w:marLeft w:val="0"/>
      <w:marRight w:val="0"/>
      <w:marTop w:val="0"/>
      <w:marBottom w:val="0"/>
      <w:divBdr>
        <w:top w:val="none" w:sz="0" w:space="0" w:color="auto"/>
        <w:left w:val="none" w:sz="0" w:space="0" w:color="auto"/>
        <w:bottom w:val="none" w:sz="0" w:space="0" w:color="auto"/>
        <w:right w:val="none" w:sz="0" w:space="0" w:color="auto"/>
      </w:divBdr>
    </w:div>
    <w:div w:id="341278144">
      <w:bodyDiv w:val="1"/>
      <w:marLeft w:val="0"/>
      <w:marRight w:val="0"/>
      <w:marTop w:val="0"/>
      <w:marBottom w:val="0"/>
      <w:divBdr>
        <w:top w:val="none" w:sz="0" w:space="0" w:color="auto"/>
        <w:left w:val="none" w:sz="0" w:space="0" w:color="auto"/>
        <w:bottom w:val="none" w:sz="0" w:space="0" w:color="auto"/>
        <w:right w:val="none" w:sz="0" w:space="0" w:color="auto"/>
      </w:divBdr>
    </w:div>
    <w:div w:id="431558990">
      <w:bodyDiv w:val="1"/>
      <w:marLeft w:val="0"/>
      <w:marRight w:val="0"/>
      <w:marTop w:val="0"/>
      <w:marBottom w:val="0"/>
      <w:divBdr>
        <w:top w:val="none" w:sz="0" w:space="0" w:color="auto"/>
        <w:left w:val="none" w:sz="0" w:space="0" w:color="auto"/>
        <w:bottom w:val="none" w:sz="0" w:space="0" w:color="auto"/>
        <w:right w:val="none" w:sz="0" w:space="0" w:color="auto"/>
      </w:divBdr>
      <w:divsChild>
        <w:div w:id="1972511035">
          <w:marLeft w:val="0"/>
          <w:marRight w:val="0"/>
          <w:marTop w:val="0"/>
          <w:marBottom w:val="0"/>
          <w:divBdr>
            <w:top w:val="none" w:sz="0" w:space="0" w:color="auto"/>
            <w:left w:val="none" w:sz="0" w:space="0" w:color="auto"/>
            <w:bottom w:val="none" w:sz="0" w:space="0" w:color="auto"/>
            <w:right w:val="none" w:sz="0" w:space="0" w:color="auto"/>
          </w:divBdr>
        </w:div>
        <w:div w:id="1946812875">
          <w:marLeft w:val="0"/>
          <w:marRight w:val="0"/>
          <w:marTop w:val="0"/>
          <w:marBottom w:val="0"/>
          <w:divBdr>
            <w:top w:val="none" w:sz="0" w:space="0" w:color="auto"/>
            <w:left w:val="none" w:sz="0" w:space="0" w:color="auto"/>
            <w:bottom w:val="none" w:sz="0" w:space="0" w:color="auto"/>
            <w:right w:val="none" w:sz="0" w:space="0" w:color="auto"/>
          </w:divBdr>
        </w:div>
        <w:div w:id="1566800468">
          <w:marLeft w:val="0"/>
          <w:marRight w:val="0"/>
          <w:marTop w:val="0"/>
          <w:marBottom w:val="0"/>
          <w:divBdr>
            <w:top w:val="none" w:sz="0" w:space="0" w:color="auto"/>
            <w:left w:val="none" w:sz="0" w:space="0" w:color="auto"/>
            <w:bottom w:val="none" w:sz="0" w:space="0" w:color="auto"/>
            <w:right w:val="none" w:sz="0" w:space="0" w:color="auto"/>
          </w:divBdr>
        </w:div>
      </w:divsChild>
    </w:div>
    <w:div w:id="437528063">
      <w:bodyDiv w:val="1"/>
      <w:marLeft w:val="0"/>
      <w:marRight w:val="0"/>
      <w:marTop w:val="0"/>
      <w:marBottom w:val="0"/>
      <w:divBdr>
        <w:top w:val="none" w:sz="0" w:space="0" w:color="auto"/>
        <w:left w:val="none" w:sz="0" w:space="0" w:color="auto"/>
        <w:bottom w:val="none" w:sz="0" w:space="0" w:color="auto"/>
        <w:right w:val="none" w:sz="0" w:space="0" w:color="auto"/>
      </w:divBdr>
    </w:div>
    <w:div w:id="443618198">
      <w:bodyDiv w:val="1"/>
      <w:marLeft w:val="0"/>
      <w:marRight w:val="0"/>
      <w:marTop w:val="0"/>
      <w:marBottom w:val="0"/>
      <w:divBdr>
        <w:top w:val="none" w:sz="0" w:space="0" w:color="auto"/>
        <w:left w:val="none" w:sz="0" w:space="0" w:color="auto"/>
        <w:bottom w:val="none" w:sz="0" w:space="0" w:color="auto"/>
        <w:right w:val="none" w:sz="0" w:space="0" w:color="auto"/>
      </w:divBdr>
    </w:div>
    <w:div w:id="512375722">
      <w:bodyDiv w:val="1"/>
      <w:marLeft w:val="0"/>
      <w:marRight w:val="0"/>
      <w:marTop w:val="0"/>
      <w:marBottom w:val="0"/>
      <w:divBdr>
        <w:top w:val="none" w:sz="0" w:space="0" w:color="auto"/>
        <w:left w:val="none" w:sz="0" w:space="0" w:color="auto"/>
        <w:bottom w:val="none" w:sz="0" w:space="0" w:color="auto"/>
        <w:right w:val="none" w:sz="0" w:space="0" w:color="auto"/>
      </w:divBdr>
    </w:div>
    <w:div w:id="603193868">
      <w:bodyDiv w:val="1"/>
      <w:marLeft w:val="0"/>
      <w:marRight w:val="0"/>
      <w:marTop w:val="0"/>
      <w:marBottom w:val="0"/>
      <w:divBdr>
        <w:top w:val="none" w:sz="0" w:space="0" w:color="auto"/>
        <w:left w:val="none" w:sz="0" w:space="0" w:color="auto"/>
        <w:bottom w:val="none" w:sz="0" w:space="0" w:color="auto"/>
        <w:right w:val="none" w:sz="0" w:space="0" w:color="auto"/>
      </w:divBdr>
    </w:div>
    <w:div w:id="607196639">
      <w:bodyDiv w:val="1"/>
      <w:marLeft w:val="0"/>
      <w:marRight w:val="0"/>
      <w:marTop w:val="0"/>
      <w:marBottom w:val="0"/>
      <w:divBdr>
        <w:top w:val="none" w:sz="0" w:space="0" w:color="auto"/>
        <w:left w:val="none" w:sz="0" w:space="0" w:color="auto"/>
        <w:bottom w:val="none" w:sz="0" w:space="0" w:color="auto"/>
        <w:right w:val="none" w:sz="0" w:space="0" w:color="auto"/>
      </w:divBdr>
    </w:div>
    <w:div w:id="660810721">
      <w:bodyDiv w:val="1"/>
      <w:marLeft w:val="0"/>
      <w:marRight w:val="0"/>
      <w:marTop w:val="0"/>
      <w:marBottom w:val="0"/>
      <w:divBdr>
        <w:top w:val="none" w:sz="0" w:space="0" w:color="auto"/>
        <w:left w:val="none" w:sz="0" w:space="0" w:color="auto"/>
        <w:bottom w:val="none" w:sz="0" w:space="0" w:color="auto"/>
        <w:right w:val="none" w:sz="0" w:space="0" w:color="auto"/>
      </w:divBdr>
    </w:div>
    <w:div w:id="702941019">
      <w:bodyDiv w:val="1"/>
      <w:marLeft w:val="0"/>
      <w:marRight w:val="0"/>
      <w:marTop w:val="0"/>
      <w:marBottom w:val="0"/>
      <w:divBdr>
        <w:top w:val="none" w:sz="0" w:space="0" w:color="auto"/>
        <w:left w:val="none" w:sz="0" w:space="0" w:color="auto"/>
        <w:bottom w:val="none" w:sz="0" w:space="0" w:color="auto"/>
        <w:right w:val="none" w:sz="0" w:space="0" w:color="auto"/>
      </w:divBdr>
    </w:div>
    <w:div w:id="714617375">
      <w:bodyDiv w:val="1"/>
      <w:marLeft w:val="0"/>
      <w:marRight w:val="0"/>
      <w:marTop w:val="0"/>
      <w:marBottom w:val="0"/>
      <w:divBdr>
        <w:top w:val="none" w:sz="0" w:space="0" w:color="auto"/>
        <w:left w:val="none" w:sz="0" w:space="0" w:color="auto"/>
        <w:bottom w:val="none" w:sz="0" w:space="0" w:color="auto"/>
        <w:right w:val="none" w:sz="0" w:space="0" w:color="auto"/>
      </w:divBdr>
    </w:div>
    <w:div w:id="748189261">
      <w:bodyDiv w:val="1"/>
      <w:marLeft w:val="0"/>
      <w:marRight w:val="0"/>
      <w:marTop w:val="0"/>
      <w:marBottom w:val="0"/>
      <w:divBdr>
        <w:top w:val="none" w:sz="0" w:space="0" w:color="auto"/>
        <w:left w:val="none" w:sz="0" w:space="0" w:color="auto"/>
        <w:bottom w:val="none" w:sz="0" w:space="0" w:color="auto"/>
        <w:right w:val="none" w:sz="0" w:space="0" w:color="auto"/>
      </w:divBdr>
    </w:div>
    <w:div w:id="798838461">
      <w:bodyDiv w:val="1"/>
      <w:marLeft w:val="0"/>
      <w:marRight w:val="0"/>
      <w:marTop w:val="0"/>
      <w:marBottom w:val="0"/>
      <w:divBdr>
        <w:top w:val="none" w:sz="0" w:space="0" w:color="auto"/>
        <w:left w:val="none" w:sz="0" w:space="0" w:color="auto"/>
        <w:bottom w:val="none" w:sz="0" w:space="0" w:color="auto"/>
        <w:right w:val="none" w:sz="0" w:space="0" w:color="auto"/>
      </w:divBdr>
    </w:div>
    <w:div w:id="819350059">
      <w:bodyDiv w:val="1"/>
      <w:marLeft w:val="0"/>
      <w:marRight w:val="0"/>
      <w:marTop w:val="0"/>
      <w:marBottom w:val="0"/>
      <w:divBdr>
        <w:top w:val="none" w:sz="0" w:space="0" w:color="auto"/>
        <w:left w:val="none" w:sz="0" w:space="0" w:color="auto"/>
        <w:bottom w:val="none" w:sz="0" w:space="0" w:color="auto"/>
        <w:right w:val="none" w:sz="0" w:space="0" w:color="auto"/>
      </w:divBdr>
    </w:div>
    <w:div w:id="885726527">
      <w:bodyDiv w:val="1"/>
      <w:marLeft w:val="0"/>
      <w:marRight w:val="0"/>
      <w:marTop w:val="0"/>
      <w:marBottom w:val="0"/>
      <w:divBdr>
        <w:top w:val="none" w:sz="0" w:space="0" w:color="auto"/>
        <w:left w:val="none" w:sz="0" w:space="0" w:color="auto"/>
        <w:bottom w:val="none" w:sz="0" w:space="0" w:color="auto"/>
        <w:right w:val="none" w:sz="0" w:space="0" w:color="auto"/>
      </w:divBdr>
    </w:div>
    <w:div w:id="959920203">
      <w:bodyDiv w:val="1"/>
      <w:marLeft w:val="0"/>
      <w:marRight w:val="0"/>
      <w:marTop w:val="0"/>
      <w:marBottom w:val="0"/>
      <w:divBdr>
        <w:top w:val="none" w:sz="0" w:space="0" w:color="auto"/>
        <w:left w:val="none" w:sz="0" w:space="0" w:color="auto"/>
        <w:bottom w:val="none" w:sz="0" w:space="0" w:color="auto"/>
        <w:right w:val="none" w:sz="0" w:space="0" w:color="auto"/>
      </w:divBdr>
    </w:div>
    <w:div w:id="1009792390">
      <w:bodyDiv w:val="1"/>
      <w:marLeft w:val="0"/>
      <w:marRight w:val="0"/>
      <w:marTop w:val="0"/>
      <w:marBottom w:val="0"/>
      <w:divBdr>
        <w:top w:val="none" w:sz="0" w:space="0" w:color="auto"/>
        <w:left w:val="none" w:sz="0" w:space="0" w:color="auto"/>
        <w:bottom w:val="none" w:sz="0" w:space="0" w:color="auto"/>
        <w:right w:val="none" w:sz="0" w:space="0" w:color="auto"/>
      </w:divBdr>
    </w:div>
    <w:div w:id="1039624617">
      <w:bodyDiv w:val="1"/>
      <w:marLeft w:val="0"/>
      <w:marRight w:val="0"/>
      <w:marTop w:val="0"/>
      <w:marBottom w:val="0"/>
      <w:divBdr>
        <w:top w:val="none" w:sz="0" w:space="0" w:color="auto"/>
        <w:left w:val="none" w:sz="0" w:space="0" w:color="auto"/>
        <w:bottom w:val="none" w:sz="0" w:space="0" w:color="auto"/>
        <w:right w:val="none" w:sz="0" w:space="0" w:color="auto"/>
      </w:divBdr>
    </w:div>
    <w:div w:id="1045444151">
      <w:bodyDiv w:val="1"/>
      <w:marLeft w:val="0"/>
      <w:marRight w:val="0"/>
      <w:marTop w:val="0"/>
      <w:marBottom w:val="0"/>
      <w:divBdr>
        <w:top w:val="none" w:sz="0" w:space="0" w:color="auto"/>
        <w:left w:val="none" w:sz="0" w:space="0" w:color="auto"/>
        <w:bottom w:val="none" w:sz="0" w:space="0" w:color="auto"/>
        <w:right w:val="none" w:sz="0" w:space="0" w:color="auto"/>
      </w:divBdr>
    </w:div>
    <w:div w:id="1083262856">
      <w:bodyDiv w:val="1"/>
      <w:marLeft w:val="0"/>
      <w:marRight w:val="0"/>
      <w:marTop w:val="0"/>
      <w:marBottom w:val="0"/>
      <w:divBdr>
        <w:top w:val="none" w:sz="0" w:space="0" w:color="auto"/>
        <w:left w:val="none" w:sz="0" w:space="0" w:color="auto"/>
        <w:bottom w:val="none" w:sz="0" w:space="0" w:color="auto"/>
        <w:right w:val="none" w:sz="0" w:space="0" w:color="auto"/>
      </w:divBdr>
    </w:div>
    <w:div w:id="1139304079">
      <w:bodyDiv w:val="1"/>
      <w:marLeft w:val="0"/>
      <w:marRight w:val="0"/>
      <w:marTop w:val="0"/>
      <w:marBottom w:val="0"/>
      <w:divBdr>
        <w:top w:val="none" w:sz="0" w:space="0" w:color="auto"/>
        <w:left w:val="none" w:sz="0" w:space="0" w:color="auto"/>
        <w:bottom w:val="none" w:sz="0" w:space="0" w:color="auto"/>
        <w:right w:val="none" w:sz="0" w:space="0" w:color="auto"/>
      </w:divBdr>
    </w:div>
    <w:div w:id="1253394336">
      <w:bodyDiv w:val="1"/>
      <w:marLeft w:val="0"/>
      <w:marRight w:val="0"/>
      <w:marTop w:val="0"/>
      <w:marBottom w:val="0"/>
      <w:divBdr>
        <w:top w:val="none" w:sz="0" w:space="0" w:color="auto"/>
        <w:left w:val="none" w:sz="0" w:space="0" w:color="auto"/>
        <w:bottom w:val="none" w:sz="0" w:space="0" w:color="auto"/>
        <w:right w:val="none" w:sz="0" w:space="0" w:color="auto"/>
      </w:divBdr>
    </w:div>
    <w:div w:id="1298098700">
      <w:bodyDiv w:val="1"/>
      <w:marLeft w:val="0"/>
      <w:marRight w:val="0"/>
      <w:marTop w:val="0"/>
      <w:marBottom w:val="0"/>
      <w:divBdr>
        <w:top w:val="none" w:sz="0" w:space="0" w:color="auto"/>
        <w:left w:val="none" w:sz="0" w:space="0" w:color="auto"/>
        <w:bottom w:val="none" w:sz="0" w:space="0" w:color="auto"/>
        <w:right w:val="none" w:sz="0" w:space="0" w:color="auto"/>
      </w:divBdr>
    </w:div>
    <w:div w:id="1329864681">
      <w:bodyDiv w:val="1"/>
      <w:marLeft w:val="0"/>
      <w:marRight w:val="0"/>
      <w:marTop w:val="0"/>
      <w:marBottom w:val="0"/>
      <w:divBdr>
        <w:top w:val="none" w:sz="0" w:space="0" w:color="auto"/>
        <w:left w:val="none" w:sz="0" w:space="0" w:color="auto"/>
        <w:bottom w:val="none" w:sz="0" w:space="0" w:color="auto"/>
        <w:right w:val="none" w:sz="0" w:space="0" w:color="auto"/>
      </w:divBdr>
    </w:div>
    <w:div w:id="1338968823">
      <w:bodyDiv w:val="1"/>
      <w:marLeft w:val="0"/>
      <w:marRight w:val="0"/>
      <w:marTop w:val="0"/>
      <w:marBottom w:val="0"/>
      <w:divBdr>
        <w:top w:val="none" w:sz="0" w:space="0" w:color="auto"/>
        <w:left w:val="none" w:sz="0" w:space="0" w:color="auto"/>
        <w:bottom w:val="none" w:sz="0" w:space="0" w:color="auto"/>
        <w:right w:val="none" w:sz="0" w:space="0" w:color="auto"/>
      </w:divBdr>
    </w:div>
    <w:div w:id="1464808781">
      <w:bodyDiv w:val="1"/>
      <w:marLeft w:val="0"/>
      <w:marRight w:val="0"/>
      <w:marTop w:val="0"/>
      <w:marBottom w:val="0"/>
      <w:divBdr>
        <w:top w:val="none" w:sz="0" w:space="0" w:color="auto"/>
        <w:left w:val="none" w:sz="0" w:space="0" w:color="auto"/>
        <w:bottom w:val="none" w:sz="0" w:space="0" w:color="auto"/>
        <w:right w:val="none" w:sz="0" w:space="0" w:color="auto"/>
      </w:divBdr>
    </w:div>
    <w:div w:id="1498417438">
      <w:bodyDiv w:val="1"/>
      <w:marLeft w:val="0"/>
      <w:marRight w:val="0"/>
      <w:marTop w:val="0"/>
      <w:marBottom w:val="0"/>
      <w:divBdr>
        <w:top w:val="none" w:sz="0" w:space="0" w:color="auto"/>
        <w:left w:val="none" w:sz="0" w:space="0" w:color="auto"/>
        <w:bottom w:val="none" w:sz="0" w:space="0" w:color="auto"/>
        <w:right w:val="none" w:sz="0" w:space="0" w:color="auto"/>
      </w:divBdr>
    </w:div>
    <w:div w:id="1509710195">
      <w:bodyDiv w:val="1"/>
      <w:marLeft w:val="0"/>
      <w:marRight w:val="0"/>
      <w:marTop w:val="0"/>
      <w:marBottom w:val="0"/>
      <w:divBdr>
        <w:top w:val="none" w:sz="0" w:space="0" w:color="auto"/>
        <w:left w:val="none" w:sz="0" w:space="0" w:color="auto"/>
        <w:bottom w:val="none" w:sz="0" w:space="0" w:color="auto"/>
        <w:right w:val="none" w:sz="0" w:space="0" w:color="auto"/>
      </w:divBdr>
    </w:div>
    <w:div w:id="1598828607">
      <w:bodyDiv w:val="1"/>
      <w:marLeft w:val="0"/>
      <w:marRight w:val="0"/>
      <w:marTop w:val="0"/>
      <w:marBottom w:val="0"/>
      <w:divBdr>
        <w:top w:val="none" w:sz="0" w:space="0" w:color="auto"/>
        <w:left w:val="none" w:sz="0" w:space="0" w:color="auto"/>
        <w:bottom w:val="none" w:sz="0" w:space="0" w:color="auto"/>
        <w:right w:val="none" w:sz="0" w:space="0" w:color="auto"/>
      </w:divBdr>
    </w:div>
    <w:div w:id="1643849361">
      <w:bodyDiv w:val="1"/>
      <w:marLeft w:val="0"/>
      <w:marRight w:val="0"/>
      <w:marTop w:val="0"/>
      <w:marBottom w:val="0"/>
      <w:divBdr>
        <w:top w:val="none" w:sz="0" w:space="0" w:color="auto"/>
        <w:left w:val="none" w:sz="0" w:space="0" w:color="auto"/>
        <w:bottom w:val="none" w:sz="0" w:space="0" w:color="auto"/>
        <w:right w:val="none" w:sz="0" w:space="0" w:color="auto"/>
      </w:divBdr>
    </w:div>
    <w:div w:id="1682048960">
      <w:bodyDiv w:val="1"/>
      <w:marLeft w:val="0"/>
      <w:marRight w:val="0"/>
      <w:marTop w:val="0"/>
      <w:marBottom w:val="0"/>
      <w:divBdr>
        <w:top w:val="none" w:sz="0" w:space="0" w:color="auto"/>
        <w:left w:val="none" w:sz="0" w:space="0" w:color="auto"/>
        <w:bottom w:val="none" w:sz="0" w:space="0" w:color="auto"/>
        <w:right w:val="none" w:sz="0" w:space="0" w:color="auto"/>
      </w:divBdr>
    </w:div>
    <w:div w:id="1775396422">
      <w:bodyDiv w:val="1"/>
      <w:marLeft w:val="0"/>
      <w:marRight w:val="0"/>
      <w:marTop w:val="0"/>
      <w:marBottom w:val="0"/>
      <w:divBdr>
        <w:top w:val="none" w:sz="0" w:space="0" w:color="auto"/>
        <w:left w:val="none" w:sz="0" w:space="0" w:color="auto"/>
        <w:bottom w:val="none" w:sz="0" w:space="0" w:color="auto"/>
        <w:right w:val="none" w:sz="0" w:space="0" w:color="auto"/>
      </w:divBdr>
    </w:div>
    <w:div w:id="1912930418">
      <w:bodyDiv w:val="1"/>
      <w:marLeft w:val="0"/>
      <w:marRight w:val="0"/>
      <w:marTop w:val="0"/>
      <w:marBottom w:val="0"/>
      <w:divBdr>
        <w:top w:val="none" w:sz="0" w:space="0" w:color="auto"/>
        <w:left w:val="none" w:sz="0" w:space="0" w:color="auto"/>
        <w:bottom w:val="none" w:sz="0" w:space="0" w:color="auto"/>
        <w:right w:val="none" w:sz="0" w:space="0" w:color="auto"/>
      </w:divBdr>
    </w:div>
    <w:div w:id="1944923954">
      <w:bodyDiv w:val="1"/>
      <w:marLeft w:val="0"/>
      <w:marRight w:val="0"/>
      <w:marTop w:val="0"/>
      <w:marBottom w:val="0"/>
      <w:divBdr>
        <w:top w:val="none" w:sz="0" w:space="0" w:color="auto"/>
        <w:left w:val="none" w:sz="0" w:space="0" w:color="auto"/>
        <w:bottom w:val="none" w:sz="0" w:space="0" w:color="auto"/>
        <w:right w:val="none" w:sz="0" w:space="0" w:color="auto"/>
      </w:divBdr>
    </w:div>
    <w:div w:id="2033339849">
      <w:bodyDiv w:val="1"/>
      <w:marLeft w:val="0"/>
      <w:marRight w:val="0"/>
      <w:marTop w:val="0"/>
      <w:marBottom w:val="0"/>
      <w:divBdr>
        <w:top w:val="none" w:sz="0" w:space="0" w:color="auto"/>
        <w:left w:val="none" w:sz="0" w:space="0" w:color="auto"/>
        <w:bottom w:val="none" w:sz="0" w:space="0" w:color="auto"/>
        <w:right w:val="none" w:sz="0" w:space="0" w:color="auto"/>
      </w:divBdr>
    </w:div>
    <w:div w:id="2035881871">
      <w:bodyDiv w:val="1"/>
      <w:marLeft w:val="0"/>
      <w:marRight w:val="0"/>
      <w:marTop w:val="0"/>
      <w:marBottom w:val="0"/>
      <w:divBdr>
        <w:top w:val="none" w:sz="0" w:space="0" w:color="auto"/>
        <w:left w:val="none" w:sz="0" w:space="0" w:color="auto"/>
        <w:bottom w:val="none" w:sz="0" w:space="0" w:color="auto"/>
        <w:right w:val="none" w:sz="0" w:space="0" w:color="auto"/>
      </w:divBdr>
    </w:div>
    <w:div w:id="2111898260">
      <w:bodyDiv w:val="1"/>
      <w:marLeft w:val="0"/>
      <w:marRight w:val="0"/>
      <w:marTop w:val="0"/>
      <w:marBottom w:val="0"/>
      <w:divBdr>
        <w:top w:val="none" w:sz="0" w:space="0" w:color="auto"/>
        <w:left w:val="none" w:sz="0" w:space="0" w:color="auto"/>
        <w:bottom w:val="none" w:sz="0" w:space="0" w:color="auto"/>
        <w:right w:val="none" w:sz="0" w:space="0" w:color="auto"/>
      </w:divBdr>
    </w:div>
    <w:div w:id="211886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mmon%20Files\Creative%20Solutions\csatm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54FF8-C99E-411D-A83C-1C075D61C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csatmpl</Template>
  <TotalTime>292</TotalTime>
  <Pages>10</Pages>
  <Words>1740</Words>
  <Characters>9922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UBATC</Company>
  <LinksUpToDate>false</LinksUpToDate>
  <CharactersWithSpaces>11639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lsiebenhaar</dc:creator>
  <cp:lastModifiedBy>Linda Siebenhaar</cp:lastModifiedBy>
  <cp:revision>44</cp:revision>
  <cp:lastPrinted>2017-08-24T16:48:00Z</cp:lastPrinted>
  <dcterms:created xsi:type="dcterms:W3CDTF">2017-08-24T16:51:00Z</dcterms:created>
  <dcterms:modified xsi:type="dcterms:W3CDTF">2018-05-04T17:44:00Z</dcterms:modified>
</cp:coreProperties>
</file>